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2024</w:t>
      </w:r>
      <w:r>
        <w:rPr>
          <w:rFonts w:hint="eastAsia" w:ascii="宋体" w:hAnsi="宋体"/>
          <w:b/>
          <w:bCs/>
          <w:sz w:val="52"/>
          <w:szCs w:val="52"/>
        </w:rPr>
        <w:t>年度内蒙古自治区巴彦淖尔市住房和城乡建设局(本级)</w:t>
      </w:r>
    </w:p>
    <w:p>
      <w:pPr>
        <w:spacing w:line="360" w:lineRule="auto"/>
        <w:jc w:val="center"/>
        <w:rPr>
          <w:rFonts w:ascii="宋体" w:hAnsi="宋体"/>
          <w:b/>
          <w:bCs/>
          <w:sz w:val="52"/>
          <w:szCs w:val="52"/>
        </w:rPr>
      </w:pPr>
      <w:r>
        <w:rPr>
          <w:rFonts w:hint="eastAsia" w:ascii="宋体" w:hAnsi="宋体"/>
          <w:b/>
          <w:bCs/>
          <w:sz w:val="52"/>
          <w:szCs w:val="52"/>
        </w:rPr>
        <w:t>公开报告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docGrid w:type="lines" w:linePitch="312" w:charSpace="0"/>
        </w:sectPr>
      </w:pPr>
    </w:p>
    <w:p>
      <w:pPr>
        <w:widowControl/>
        <w:spacing w:after="240"/>
        <w:jc w:val="center"/>
        <w:rPr>
          <w:rFonts w:ascii="Times New Roman" w:hAnsi="Times New Roman" w:eastAsia="Times New Roman" w:cs="Times New Roman"/>
          <w:kern w:val="0"/>
          <w:sz w:val="24"/>
        </w:rPr>
      </w:pPr>
      <w:bookmarkStart w:id="0" w:name="a000"/>
      <w:r>
        <w:rPr>
          <w:rFonts w:ascii="仿宋_GB2312" w:hAnsi="仿宋_GB2312" w:eastAsia="仿宋_GB2312" w:cs="仿宋_GB2312"/>
          <w:b/>
          <w:bCs/>
          <w:kern w:val="0"/>
          <w:sz w:val="54"/>
          <w:szCs w:val="54"/>
        </w:rPr>
        <w:t>目 录</w:t>
      </w:r>
    </w:p>
    <w:p>
      <w:pPr>
        <w:widowControl/>
        <w:spacing w:before="240" w:after="240"/>
        <w:jc w:val="left"/>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第一部分 部门（单位）概况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一、主要职能、职责</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二、部门（单位）机构设置及决算单位构成情况</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w:t>
      </w:r>
      <w:r>
        <w:rPr>
          <w:rFonts w:hint="eastAsia" w:ascii="仿宋" w:hAnsi="仿宋" w:eastAsia="仿宋" w:cs="仿宋"/>
          <w:b w:val="0"/>
          <w:bCs w:val="0"/>
          <w:kern w:val="0"/>
          <w:sz w:val="27"/>
          <w:szCs w:val="27"/>
        </w:rPr>
        <w:t>2024</w:t>
      </w:r>
      <w:r>
        <w:rPr>
          <w:rFonts w:ascii="仿宋_GB2312" w:hAnsi="仿宋_GB2312" w:eastAsia="仿宋_GB2312" w:cs="仿宋_GB2312"/>
          <w:kern w:val="0"/>
          <w:sz w:val="27"/>
          <w:szCs w:val="27"/>
        </w:rPr>
        <w:t>年度部门（单位）主要工作完成情况</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第二部分 部门（单位）决算情况说明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四、财政拨款收入支出决算总体情况说明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九、政府性基金预算财政拨款支出决算情况说明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十、国有资本经营预算财政拨款支出决算情况说明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十一、机关运行经费（公用经费）支出决算情况说明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十二、政府采购支出决算情况说明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十三、国有资产占用情况说明</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十四、预算绩效情况说明</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第三部分 名词解释</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第四部分 决算公开联系方式及信息反馈渠道</w:t>
      </w:r>
    </w:p>
    <w:p>
      <w:pPr>
        <w:widowControl/>
        <w:spacing w:before="240" w:after="240"/>
        <w:jc w:val="left"/>
        <w:rPr>
          <w:rFonts w:ascii="Times New Roman" w:hAnsi="Times New Roman" w:eastAsia="Times New Roman" w:cs="Times New Roman"/>
          <w:kern w:val="0"/>
          <w:sz w:val="24"/>
        </w:rPr>
      </w:pPr>
      <w:r>
        <w:rPr>
          <w:rFonts w:ascii="黑体" w:hAnsi="黑体" w:eastAsia="黑体" w:cs="黑体"/>
          <w:kern w:val="0"/>
          <w:sz w:val="27"/>
          <w:szCs w:val="27"/>
        </w:rPr>
        <w:t>第五部分 部门（单位）决算表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一、收入支出决算总表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二、收入决算表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三、支出决算表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四、财政拨款收入支出决算总表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五、一般公共预算财政拨款支出决算表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六、一般公共预算财政拨款基本支出决算明细表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七、一般公共预算财政拨款项目支出决算明细表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八、政府性基金预算财政拨款收入支出决算表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九、国有资本经营预算财政拨款收入支出决算表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十、财政拨款“三公”经费支出决算表</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十一、机关运行经费支出、国有资产占用情况及政府采购支出信息表</w:t>
      </w:r>
    </w:p>
    <w:p>
      <w:pPr>
        <w:widowControl/>
        <w:spacing w:before="240" w:after="240"/>
        <w:rPr>
          <w:rFonts w:ascii="Times New Roman" w:hAnsi="Times New Roman" w:eastAsia="Times New Roman" w:cs="Times New Roman"/>
          <w:kern w:val="0"/>
          <w:sz w:val="24"/>
        </w:rPr>
      </w:pPr>
    </w:p>
    <w:p>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第一部分 部门（单位）概况</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一、主要职能、职责</w:t>
      </w:r>
    </w:p>
    <w:p>
      <w:pPr>
        <w:widowControl/>
        <w:spacing w:before="240" w:after="240"/>
        <w:rPr>
          <w:rFonts w:ascii="仿宋_GB2312" w:hAnsi="仿宋_GB2312" w:eastAsia="仿宋_GB2312" w:cs="仿宋_GB2312"/>
          <w:color w:val="0E00FE"/>
          <w:kern w:val="0"/>
          <w:sz w:val="27"/>
          <w:szCs w:val="27"/>
        </w:rPr>
      </w:pPr>
      <w:r>
        <w:rPr>
          <w:rFonts w:ascii="仿宋_GB2312" w:hAnsi="仿宋_GB2312" w:eastAsia="仿宋_GB2312" w:cs="仿宋_GB2312"/>
          <w:color w:val="0E00FE"/>
          <w:kern w:val="0"/>
          <w:sz w:val="27"/>
          <w:szCs w:val="27"/>
        </w:rPr>
        <w:t> </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（一）贯彻落实住房和城乡建设的地方性法规、规章。提出住房和城乡建设重大问题的政策建议，拟订并组织实施住房和城乡建设事业发展战略、中长期规划。</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（二）推进住房制度改革，建立多主体供给、多渠道保障、租购并举的住房制度。指导城镇住房保障工作，拟订保障性住房政策并监督实施；拟订保障性住房、保障性安居工程发展规划和年度计划并监督实施。</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三）承担房地产市场监管和房地产业发展工作。会同有关部门拟订房地产市场监管和调控政策、规章制度并监督执行。参与拟订房地产业发展规划和产业政策。拟订房地产开发、房屋权属管理、房屋租赁、房屋面积管理、房地产估价与经纪管理、物业管理、房屋征收的规章制度并监督执行。指导监督房屋产权管理工作，协同指导房屋登记工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四）监督实施国家工程建设标准和有关行业标准。负责监督工程建设地方标准和工程建设定额的实施。承担建设工程造价管理工作。监督建设项目可行性研究评价方法、经济参数、建设标准和工程造价的管理制度的实施，监督公共服务设施（不含通信设施）建设标准的实施。指导监督各类工程建设标准定额的实施和工程造价计价，组织发布工程建设定额和工程造价信息。</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五）监督管理建筑市场，规范市场主体行为。拟订规范建筑市场、行业监管和建设活动的规章制度并监督执行。拟订建筑业、勘察设计业、工程监理咨询业的行业发展政策、中长期规划并指导实施，负责相关企业、单位的监督管理。管理和指导室内装饰业。引导建筑企业参与对外承包、建筑劳务合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六）承担建筑工程质量安全监管责任。拟订建筑工程质量、建筑安全生产、防雷装置设计审核和工程竣工验收备案的政策、规章制度并监督执行。拟定相关技术政策并指导实施。参与工程重大质量、安全事的调查处理。指导监督建设工程消防设计审查验收。</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（七）指导城市勘察、市政工程测量、城市地下空间开发利用和城市雕塑工作。参与拟订城市修补和生态修复的政策和制度并监督执行。会同文物主管部门负责历史文化名城（镇、村）的保护和监督管理工作。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八）指导城市建设和管理工作。参与拟订城市建设、管理的政策和制度并指导实施。组织编制城市建设和市政公用事业的中长期发展规划并指导实施。指导城市市政公用设施建设和运行安全管理工作。负责城市建设档案管理工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九）指导城市管理执法工作。参与拟订城市管理执法监督的政策和制度并监督执行。指导监督集中行使住房和城乡建设领域以及与城市管理相关的跨部门、跨领域的相关行政执法和行政处罚工作。组织查处住房和城乡建设领域重大案件。</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（十）指导村镇建设工作。参与拟订小城镇和村庄建设的政策、发展规划并指导实施。指导农村牧区住房建设和危房改造工作。指导重点镇建设和传统村落、传统建筑的保护发展工作。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十一）指导建筑节能和城镇减排工作。会同有关部门拟订建筑节能、城镇减排和科技相关政策、发展规划并监督实施。拟订绿色建筑、装配式建筑发展规划并指导实施。指导新型墙体材料发展工作。指导和组织实施重大建筑节能项目、重大科技项目攻关和科技成果转化推广。</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十二）指导住房公积金管理工作。会同有关部门拟订住房公积金政策、发展规划并组织实施。拟订住房公积金缴存、使用、管理和监督制度。监督住房公积金和其他住房资金的管理、使用和安全。管理住房公积金信息系统。</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（十三）指导住房和城乡建设领域人才队伍建设，开展对外交流与合作。</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（十四）完成市委、市政府交办的其他任务。　</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巴彦淖尔市住房和城乡建设局所属事业单位的设置、职责和编制事项另行规定。</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hint="eastAsia" w:ascii="仿宋_GB2312" w:hAnsi="仿宋_GB2312" w:eastAsia="仿宋_GB2312" w:cs="仿宋_GB2312"/>
          <w:kern w:val="0"/>
          <w:sz w:val="27"/>
          <w:szCs w:val="27"/>
          <w:lang w:val="en-US" w:eastAsia="zh-CN"/>
        </w:rPr>
        <w:t>　　本规定由中共巴彦淖尔市委员会机构编制委员会办公室负责解释，其调整由中共巴彦淖尔市委员会机构编制委员会办公室按规定程序办理、</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二、单位机构设置及决算单位构成情况</w:t>
      </w:r>
    </w:p>
    <w:p>
      <w:pPr>
        <w:keepNext w:val="0"/>
        <w:keepLines w:val="0"/>
        <w:pageBreakBefore w:val="0"/>
        <w:widowControl/>
        <w:kinsoku/>
        <w:wordWrap/>
        <w:overflowPunct/>
        <w:topLinePunct w:val="0"/>
        <w:autoSpaceDE/>
        <w:autoSpaceDN/>
        <w:bidi w:val="0"/>
        <w:adjustRightInd/>
        <w:snapToGrid/>
        <w:ind w:firstLine="482"/>
        <w:textAlignment w:val="auto"/>
        <w:rPr>
          <w:rFonts w:ascii="仿宋_GB2312" w:hAnsi="仿宋_GB2312" w:eastAsia="仿宋_GB2312" w:cs="仿宋_GB2312"/>
          <w:kern w:val="0"/>
          <w:sz w:val="27"/>
          <w:szCs w:val="27"/>
        </w:rPr>
      </w:pPr>
      <w:r>
        <w:rPr>
          <w:rFonts w:ascii="times_new_roman" w:hAnsi="times_new_roman" w:eastAsia="times_new_roman" w:cs="times_new_roman"/>
          <w:kern w:val="0"/>
          <w:sz w:val="27"/>
          <w:szCs w:val="27"/>
        </w:rPr>
        <w:t>1</w:t>
      </w:r>
      <w:r>
        <w:rPr>
          <w:rFonts w:ascii="仿宋_GB2312" w:hAnsi="仿宋_GB2312" w:eastAsia="仿宋_GB2312" w:cs="仿宋_GB2312"/>
          <w:kern w:val="0"/>
          <w:sz w:val="27"/>
          <w:szCs w:val="27"/>
        </w:rPr>
        <w:t>.根据单位职责分工，本单位内设机构包括</w:t>
      </w:r>
      <w:r>
        <w:rPr>
          <w:rFonts w:hint="eastAsia" w:ascii="仿宋_GB2312" w:hAnsi="仿宋_GB2312" w:eastAsia="仿宋_GB2312" w:cs="仿宋_GB2312"/>
          <w:kern w:val="0"/>
          <w:sz w:val="27"/>
          <w:szCs w:val="27"/>
          <w:lang w:val="en-US" w:eastAsia="zh-CN"/>
        </w:rPr>
        <w:t>17个科室</w:t>
      </w:r>
      <w:r>
        <w:rPr>
          <w:rFonts w:ascii="仿宋_GB2312" w:hAnsi="仿宋_GB2312" w:eastAsia="仿宋_GB2312" w:cs="仿宋_GB2312"/>
          <w:kern w:val="0"/>
          <w:sz w:val="27"/>
          <w:szCs w:val="27"/>
        </w:rPr>
        <w:t>。本单位下属单位</w:t>
      </w:r>
      <w:r>
        <w:rPr>
          <w:rFonts w:hint="eastAsia" w:ascii="仿宋_GB2312" w:hAnsi="仿宋_GB2312" w:eastAsia="仿宋_GB2312" w:cs="仿宋_GB2312"/>
          <w:kern w:val="0"/>
          <w:sz w:val="27"/>
          <w:szCs w:val="27"/>
          <w:lang w:val="en-US" w:eastAsia="zh-CN"/>
        </w:rPr>
        <w:t>8个</w:t>
      </w:r>
      <w:r>
        <w:rPr>
          <w:rFonts w:ascii="仿宋_GB2312" w:hAnsi="仿宋_GB2312" w:eastAsia="仿宋_GB2312" w:cs="仿宋_GB2312"/>
          <w:kern w:val="0"/>
          <w:sz w:val="27"/>
          <w:szCs w:val="27"/>
        </w:rPr>
        <w:t>包括：</w:t>
      </w:r>
      <w:r>
        <w:rPr>
          <w:rFonts w:hint="eastAsia" w:ascii="仿宋_GB2312" w:hAnsi="仿宋_GB2312" w:eastAsia="仿宋_GB2312" w:cs="仿宋_GB2312"/>
          <w:kern w:val="0"/>
          <w:sz w:val="27"/>
          <w:szCs w:val="27"/>
        </w:rPr>
        <w:t>巴彦淖尔市城市生活垃圾分类指导中心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巴彦淖尔市住房公积金中心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巴彦淖尔市城市新区发展中心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巴彦淖尔市住房和城乡建设综合保障服务中心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巴彦淖尔市城乡建设绿色节能发展中心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巴彦淖尔市房屋产权交易中心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巴彦淖尔市建设工程质量安全技术服务中心</w:t>
      </w:r>
      <w:r>
        <w:rPr>
          <w:rFonts w:hint="eastAsia" w:ascii="仿宋_GB2312" w:hAnsi="仿宋_GB2312" w:eastAsia="仿宋_GB2312" w:cs="仿宋_GB2312"/>
          <w:kern w:val="0"/>
          <w:sz w:val="27"/>
          <w:szCs w:val="27"/>
          <w:lang w:eastAsia="zh-CN"/>
        </w:rPr>
        <w:t>、</w:t>
      </w:r>
      <w:r>
        <w:rPr>
          <w:rFonts w:hint="eastAsia" w:ascii="仿宋_GB2312" w:hAnsi="仿宋_GB2312" w:eastAsia="仿宋_GB2312" w:cs="仿宋_GB2312"/>
          <w:kern w:val="0"/>
          <w:sz w:val="27"/>
          <w:szCs w:val="27"/>
        </w:rPr>
        <w:t>巴彦淖尔市建设工程消防技术服务中心</w:t>
      </w:r>
      <w:r>
        <w:rPr>
          <w:rFonts w:ascii="仿宋_GB2312" w:hAnsi="仿宋_GB2312" w:eastAsia="仿宋_GB2312" w:cs="仿宋_GB2312"/>
          <w:kern w:val="0"/>
          <w:sz w:val="27"/>
          <w:szCs w:val="27"/>
        </w:rPr>
        <w:t>。</w:t>
      </w:r>
    </w:p>
    <w:p>
      <w:pPr>
        <w:keepNext w:val="0"/>
        <w:keepLines w:val="0"/>
        <w:pageBreakBefore w:val="0"/>
        <w:widowControl/>
        <w:kinsoku/>
        <w:wordWrap/>
        <w:overflowPunct/>
        <w:topLinePunct w:val="0"/>
        <w:autoSpaceDE/>
        <w:autoSpaceDN/>
        <w:bidi w:val="0"/>
        <w:adjustRightInd/>
        <w:snapToGrid/>
        <w:ind w:firstLine="482"/>
        <w:textAlignment w:val="auto"/>
        <w:rPr>
          <w:rFonts w:ascii="Times New Roman" w:hAnsi="Times New Roman" w:eastAsia="Times New Roman" w:cs="Times New Roman"/>
          <w:kern w:val="0"/>
          <w:sz w:val="24"/>
        </w:rPr>
      </w:pPr>
      <w:r>
        <w:rPr>
          <w:rFonts w:ascii="times_new_roman" w:hAnsi="times_new_roman" w:eastAsia="times_new_roman" w:cs="times_new_roman"/>
          <w:kern w:val="0"/>
          <w:sz w:val="27"/>
          <w:szCs w:val="27"/>
        </w:rPr>
        <w:t xml:space="preserve"> 2</w:t>
      </w:r>
      <w:r>
        <w:rPr>
          <w:rFonts w:ascii="仿宋_GB2312" w:hAnsi="仿宋_GB2312" w:eastAsia="仿宋_GB2312" w:cs="仿宋_GB2312"/>
          <w:kern w:val="0"/>
          <w:sz w:val="27"/>
          <w:szCs w:val="27"/>
        </w:rPr>
        <w:t>.从决算单位构成看，纳入本单位决算编制范围的预算单位共计</w:t>
      </w:r>
      <w:r>
        <w:rPr>
          <w:rFonts w:hint="eastAsia" w:ascii="仿宋_GB2312" w:hAnsi="仿宋_GB2312" w:eastAsia="仿宋_GB2312" w:cs="仿宋_GB2312"/>
          <w:kern w:val="0"/>
          <w:sz w:val="27"/>
          <w:szCs w:val="27"/>
          <w:u w:val="single"/>
          <w:lang w:val="en-US" w:eastAsia="zh-CN"/>
        </w:rPr>
        <w:t>1</w:t>
      </w:r>
      <w:r>
        <w:rPr>
          <w:rFonts w:ascii="仿宋_GB2312" w:hAnsi="仿宋_GB2312" w:eastAsia="仿宋_GB2312" w:cs="仿宋_GB2312"/>
          <w:kern w:val="0"/>
          <w:sz w:val="27"/>
          <w:szCs w:val="27"/>
        </w:rPr>
        <w:t>家，具体包括：</w:t>
      </w:r>
      <w:r>
        <w:rPr>
          <w:rFonts w:hint="eastAsia" w:ascii="仿宋_GB2312" w:hAnsi="仿宋_GB2312" w:eastAsia="仿宋_GB2312" w:cs="仿宋_GB2312"/>
          <w:kern w:val="0"/>
          <w:sz w:val="27"/>
          <w:szCs w:val="27"/>
          <w:lang w:val="en-US" w:eastAsia="zh-CN"/>
        </w:rPr>
        <w:t>巴彦淖尔市住房和城乡建设局</w:t>
      </w:r>
      <w:r>
        <w:rPr>
          <w:rFonts w:ascii="仿宋_GB2312" w:hAnsi="仿宋_GB2312" w:eastAsia="仿宋_GB2312" w:cs="仿宋_GB2312"/>
          <w:kern w:val="0"/>
          <w:sz w:val="27"/>
          <w:szCs w:val="27"/>
        </w:rPr>
        <w:t>本级</w:t>
      </w:r>
      <w:r>
        <w:rPr>
          <w:rFonts w:hint="eastAsia" w:ascii="仿宋_GB2312" w:hAnsi="仿宋_GB2312" w:eastAsia="仿宋_GB2312" w:cs="仿宋_GB2312"/>
          <w:kern w:val="0"/>
          <w:sz w:val="27"/>
          <w:szCs w:val="27"/>
          <w:lang w:val="en-US" w:eastAsia="zh-CN"/>
        </w:rPr>
        <w:t>单位</w:t>
      </w:r>
      <w:r>
        <w:rPr>
          <w:rFonts w:ascii="仿宋_GB2312" w:hAnsi="仿宋_GB2312" w:eastAsia="仿宋_GB2312" w:cs="仿宋_GB2312"/>
          <w:kern w:val="0"/>
          <w:sz w:val="27"/>
          <w:szCs w:val="27"/>
        </w:rPr>
        <w:t>。详细情况见表：</w:t>
      </w:r>
    </w:p>
    <w:tbl>
      <w:tblPr>
        <w:tblStyle w:val="20"/>
        <w:tblW w:w="9604" w:type="dxa"/>
        <w:jc w:val="center"/>
        <w:tblCellSpacing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072"/>
        <w:gridCol w:w="6306"/>
        <w:gridCol w:w="2226"/>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60" w:hRule="atLeast"/>
          <w:tblHeader/>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序号</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单位名称</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8" w:hRule="atLeast"/>
          <w:tblCellSpacing w:w="15" w:type="dxa"/>
          <w:jc w:val="center"/>
        </w:trPr>
        <w:tc>
          <w:tcPr>
            <w:tcW w:w="1027"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center"/>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1</w:t>
            </w:r>
          </w:p>
        </w:tc>
        <w:tc>
          <w:tcPr>
            <w:tcW w:w="6276"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hint="eastAsia" w:ascii="仿宋_GB2312" w:hAnsi="仿宋_GB2312" w:eastAsia="仿宋_GB2312" w:cs="仿宋_GB2312"/>
                <w:kern w:val="0"/>
                <w:sz w:val="27"/>
                <w:szCs w:val="27"/>
                <w:lang w:val="en-US" w:eastAsia="zh-CN"/>
              </w:rPr>
              <w:t>巴彦淖尔市住房和城乡建设局</w:t>
            </w:r>
          </w:p>
        </w:tc>
        <w:tc>
          <w:tcPr>
            <w:tcW w:w="2181"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pPr>
              <w:widowControl/>
              <w:jc w:val="left"/>
              <w:rPr>
                <w:rFonts w:ascii="Times New Roman" w:hAnsi="Times New Roman" w:eastAsia="Times New Roman" w:cs="Times New Roman"/>
                <w:b w:val="0"/>
                <w:bCs w:val="0"/>
                <w:i w:val="0"/>
                <w:iCs w:val="0"/>
                <w:smallCaps w:val="0"/>
                <w:color w:val="000000"/>
                <w:kern w:val="0"/>
                <w:sz w:val="24"/>
              </w:rPr>
            </w:pPr>
            <w:r>
              <w:rPr>
                <w:rFonts w:ascii="仿宋_GB2312" w:hAnsi="仿宋_GB2312" w:eastAsia="仿宋_GB2312" w:cs="仿宋_GB2312"/>
                <w:b w:val="0"/>
                <w:bCs w:val="0"/>
                <w:i w:val="0"/>
                <w:iCs w:val="0"/>
                <w:smallCaps w:val="0"/>
                <w:color w:val="000000"/>
                <w:kern w:val="0"/>
                <w:sz w:val="24"/>
              </w:rPr>
              <w:t>行政单位</w:t>
            </w:r>
          </w:p>
        </w:tc>
      </w:tr>
    </w:tbl>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三、2024年度单位主要工作完成情况</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 xml:space="preserve"> 1、完善住房体系建设</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紧盯房地产领域存在的乱象顽疾，围绕商品房建设、预售重点环节和开发、中介，持续整顿和规范房地产市场秩序。加强房地产信用体系建设，构建以信用为基础的房地产新型监管机制。加快建立房地产企业红黑名单制度，禁止有不良信誉的房地产企业进入市场，促进房地产市场平稳健康发展。充分发挥房地产业协会行业自律和监督作用，不断规范房地产市场秩序。按照“一城一策”方案要求，健全房地产调控机制。持续对管辖区内房地产开发项目建设情况和工程进度、新建商品房销售和库存情况进行监测分析。结合房地产市场供求关系发生重大变化的新形势，从增强质量管控能力、完善居住使用功能等方面推动高品质住宅发展，更好满足人民群众对刚性和改善性住房的居住需求。按照“保交楼、稳民生”工作要求，严格落实“一楼一策”风险处置方案，提高保交楼专项借款资金循环使用效率，积极协调商业银行落实保交楼配套融资。按照“事要解决”原则，推动剩余5257套“保交楼”任务如期交付，并持续推进保交楼项目配套设施建设。紧盯城镇住房、收入“双困”家庭，计划发放住房保障家庭租赁补贴1492户。通过“留改拆”等多种形式，实施城市危旧房改造32套。做好棚户区改造收尾工作，全面梳理往年棚户区改造项目情况，进一步加快在建项目建设进度，确保按期竣工交付。全面落实住房公积金缴存、提取和贷款管理办法，稳步推进灵活就业人员建立住房公积金制度，协调将缴存住房公积金列入劳动合同示范文本，加大对新市民、青年人租房提取支持力度，加强贷款全流程管理，有效降低个贷逾期率、不良率。</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2、提升城市功能品质</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全面开展城市体检工作，大力推进城市地下给排水、供热、供气管网更新改造。持续解决中心城区“久拆不动”“拆而不净”等历史遗留问题，筹资启动临河区丰州路贯通工程。全力整治城市“伤疤”，加大对城区老旧破损路面、管道、广场等市政基础设施修缮维护力度，科学精准推进“口袋公园”、城市绿道建设。坚持“无体检不更新”原则，建立城市体检发现问题、城市更新解决问题、评估更新效果、推动巩固提升工作机制。今年是实施冬季清洁取暖项目的最后一年，要组织各方力量抓工期、保质量，6月底前完成煤改电设备安装工作。项目完工后及时组织竣工验收，针对前两年未完工、未验收的项目，务必全面赶上进度。要做好迎接国家、自治区绩效评价的准备工作，强化完善从项目立项、招投标、施工、监理、竣工验收等环节的管理，规范建立项目台账和工作台账档案，把这项利国利民的好事办好，实事办实。2023年老旧小区改造尚未完工的，要在今年5月份复工，确保10月底前完工。今年全市计划改造老旧小区97个、193.43万平方米、536栋楼、涉及20181户居民，要提前开展入户征求意见、设计、招标等前期工作，在4月底前完成施工许可证办理，5月底前全部开工建设，力争当年基本完工。计划到“十四五”末，基本完成2000年前建成的老旧小区改造。持续推进完整居住社区建设工作，特别是临河区要加快推进2023年完整居住社区建设工作，确需调整项目的，要加快办理变更手续。大力实施燃气、供水、排水、供热四类老旧管网改造工程，计划新改建各类地下管网80公里。提高城市污水收集处理效能，年底前各旗县区污水收集率达到75%以上、污水处理率达到97%以上、再生水利用率力争达到45%以上。持续推进城镇节水降损，年底力争将管网漏损率降低至9%以内。实施城市排水防涝能力提升工程，加强易涝积水点治理工作。持续推进北京中医医院内蒙古医院周边市政道路配套建设工程，确保项目按时投入使用。深度挖掘停车资源，推动停车场由地上向地下延伸。加强城市公共充电桩调查研究，完善城市充电桩建设规划。抓好“无障碍建设示范城市（县）”创建工作，实现全市城镇新建居住区配套建设养老服务设施全覆盖。加强历史文化传承保护，计划完成乌拉特中旗川井邮电所、信用社等10处历史建筑测绘工作。进一步理顺体制机制，建立“一委一办一平台”工作体系。组织召开全市城市精细化管理现场会，深入总结可复制可推广经验做法。深入推进城镇生活垃圾分类工作，年底前取得实质性进展；加强现有生活垃圾填埋场和焚烧场监管，确保终端处理设施安全稳定运行。加大城镇生活垃圾收集、转运、处理设施建设力度，特别是与生活垃圾分类相匹配的餐厨垃圾处理设施及县级地区生活垃圾焚烧设施建设。推动信息技术、信息资源与城市发展深度融合，年底前完成城市运行管理服务平台建设可研立项。各旗县要积极推进智慧城管指挥平台的建设和运行，实现视频监控、指挥调度、案件办理、监督管理等数字化城市管理工作。持续开展城市管理执法队伍“强基础、转作风、树形象”专项行动，全面提升城市管理执法队伍服务质量和水平。抓好以背街小巷、城乡结合部为重点的市容环境集中整治；抓好以噪音污染、扬尘污染等为重点的专项执法行动；抓好以大型建设项目、燃气经营、户外广告为重点的安全生产监督检查，督促行业主体认真落实安全生产主体责任，不断提升行业监管水平，筑牢安全生产防线。推进党建引领红色物业工作，推动基层党组织把关业委会人选、监督业委会日常运作。定期开展物业服务企业信用评价，制定出台《巴彦淖尔市住宅专项维修资金管理办法》，建立应急使用程序，提高资金使用率。充分发挥物业协会桥梁纽带作用，不断改善物业企业服务效率与质量，持续提升业主满意度。以开展住宅小区物业服务全覆盖提品质三年行动为契机。</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3、巩固建筑业支柱产业地位</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全面落实建筑业三年倍增行动计划，持续打好“内培+外引+人才+平台”组合拳。推动建筑业企业混合所有制改革，积极推进建筑企业“分改子”工作，提升我市建筑业产值和税收。深化校企合作、产教融合，提升行业从业人员职业技能水平。发挥建筑业协会行业导向作用，不断推动建筑业技术进步和创新，促进行业健康发展。加快发展智能建造、绿色建造等新型建造方式，推进建筑信息模型（BIM）、大数据等技术集成应用。持续开展绿色建筑创建行动，城镇竣工绿色建筑占全部竣工建筑面积比例力争达到95%。推进绿色建材推广应用，绿色建材新增推广应用面积力争达到30万平方米。开展智能建造项目试点，新建建筑中装配式建筑面积占比力争达到25%。加大建筑企业资质认定、税费减免等方面的优惠政策供给，推行保险公司、银行和担保公司保函代替现金缴纳保证金，持续为企业减压减负。出台建筑市场信用评价办法，开展企业资质动态核查，完善建筑工人实名制管理，保障农牧民工工资支付。深入开展建筑市场专项整治行动和工程造价中介机构突出问题专项整治行动，持续净化市场环境。</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4、稳步推进乡村建设</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深入推进农村牧区房屋安全隐患排查整治行动，在保持政策稳定性、延续性的基础上调整优化，做到农村牧区低收入群体住房安全应保尽保，完成457户危房改造任务。加大乡村建筑风貌管控和技术指导，推进现代宜居农房建设。鼓励有条件的地区使用绿色建材和新型建造方式，开展设计下乡、乡村建设工匠培训等活动，提高农房建设品质。</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实施农村牧区生活垃圾和污水集中治理“135”行动。因地制宜选择处理技术和模式，提升垃圾和污水治理科学化、规范化水平。持续推进建制镇污水处理厂建设，计划完成五原县胜丰镇、复兴镇污水处理厂续建工程，计划新建临河区新华镇、白脑包镇污水处理厂建设项目。</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5、持续提升审批质效</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加强审批事项清单化管理，并向社会公开，实现同一事项无差别受理、同标准办理。推进工程建设项目全流程数字化报建，推动实现政府部门核发的材料一律免于提交。推广线上智能引导、智能客服等辅助申报方式，提高企业咨询、填报等办事便利度，同步深入推进联合审图、联合验收“一口受理”。</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6、坚决守住安全底线</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按照《自治区城市生命线安全工程建设指南》要求，建立城市生命线安全工程工作机制，开展供热、燃气、供水、排水、桥梁等基础设施普查和风险评估，重点在供热和燃气领域搭建前端物联感知系统，提升住建领域数字化监管水平和运行效率。一要压紧压实旗县区政府主要领导责任，切实抓好巡视反馈问题及历史遗留问题的整改工作，特别是要抓好学校、商场等人员密集场所消防未审验问题的整改工作。二要加强消防审验队伍建设，保障消防审验及问题整改工作有序开展。三要构建严管严查工作机制，杜绝未经建设工程消防设计审查验收投入使用问题再次发生。组织开展城镇燃气安全专项整治“回头看”，切实巩固集中攻坚成效。严格落实燃气经营许可管理办法等规定，规范燃气经营企业的运行管理；加强对燃气行业从业人员的培训教育，做到重点领域重点人群用气知识应知应会；健全完善联合惩戒机制，依法严惩、关闭取缔一批违法违规的企业。在临河区探索瓶装燃气经营企业统一配送信息系统试点建设，力争3月底完成建设，6月底完成气瓶赋码及登记工作。组织开展全市自建房安全隐患排查整治工作，对鉴定为C、D级的自建房，严格落实安全管控措施及工程措施，真正做到“人不进危房、危房不进人”，力争6月底前完成非经营性自建房安全鉴定工作。开展工程质量专项检查和住宅质量多发问题专项整治，有序推进建筑工程质量评价试点工作。开展房屋市政工程等领域安全生产治本攻坚三年行动，持续排查整治房屋市政工程项目风险隐患，坚决遏制重特大事故发生。深入开展住建领域信访问题大起底行动，切实把信访底数摸清楚，持续开展矛盾纠纷大排查、大起底、大化解行动，全力推动重访积案清单销号。</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7、大力推进温暖工程</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聘请有资质的专业第三方机构，对城镇供热情况进行评估，研究分析当前供热管理制度体系以及设施建设运行等方面存在的问题，并制定有针对性的提升供热质量的实施方案。开展城镇集中供热全流程排查，摸清家底，查找问题，提出提升改造需求。从严规范城镇供热企业的准入、服务、收费、退出等行为；强化日常监督，将企业运行情况纳入供热期定期监控范畴，确保企业管得住、管得好，整体提升企业的供热服务质量。持续组织开展“访民问暖”活动，采取有效措施把群众反映的问题解决到位、解决好。将“冬病夏治”的末梢延伸至终端用户，引导用户对因室内问题影响取暖效果的房屋进行改造提升。探索建立燃煤储备制度，保障燃煤供应。建议市级和旗县区两级财政出资，在每年供暖期前，按照本地区15日用量储备燃煤，用于应对突发性燃煤不足引起的供热事故，提升热源保障能力。各旗县区要制定供热安全生产事故处置、极端天气应急保障、弃管弃供应急接管等预案，并做好应急抢险队伍的建设和应急设备物资的储备，加强应急演练，提高应急处置能力。</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8、全面加强自身建设</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_GB2312" w:hAnsi="仿宋_GB2312" w:eastAsia="仿宋_GB2312" w:cs="仿宋_GB2312"/>
          <w:kern w:val="0"/>
          <w:sz w:val="27"/>
          <w:szCs w:val="27"/>
          <w:lang w:val="en-US" w:eastAsia="zh-CN"/>
        </w:rPr>
      </w:pPr>
      <w:r>
        <w:rPr>
          <w:rFonts w:hint="eastAsia" w:ascii="仿宋_GB2312" w:hAnsi="仿宋_GB2312" w:eastAsia="仿宋_GB2312" w:cs="仿宋_GB2312"/>
          <w:kern w:val="0"/>
          <w:sz w:val="27"/>
          <w:szCs w:val="27"/>
          <w:lang w:val="en-US" w:eastAsia="zh-CN"/>
        </w:rPr>
        <w:t>巩固拓展主题教育成果，</w:t>
      </w:r>
      <w:bookmarkStart w:id="1" w:name="_GoBack"/>
      <w:bookmarkEnd w:id="1"/>
      <w:r>
        <w:rPr>
          <w:rFonts w:hint="eastAsia" w:ascii="仿宋_GB2312" w:hAnsi="仿宋_GB2312" w:eastAsia="仿宋_GB2312" w:cs="仿宋_GB2312"/>
          <w:kern w:val="0"/>
          <w:sz w:val="27"/>
          <w:szCs w:val="27"/>
          <w:lang w:val="en-US" w:eastAsia="zh-CN"/>
        </w:rPr>
        <w:t>坚定不移用习近平新时代中国特色社会主义思想统一思想、统一意志、统一行动，坚定拥护“两个确立”、坚决做到“两个维护”。铸牢中华民族共同体意识，抓好“五大行动”任务落实，确保执行上级决策不偏向、不变通、不走样。落实党风廉政建设和意识形态工作责任制，锲而不舍落实中央八项规定及其实施细则精神，聚焦破解“慢、粗、虚”和“三多、三少、三慢”等顽疾，持续推动工作“规范、精简、提速”。坚决防范和纠治“新形象工程”，着力克服形式主义官僚主义。树立选人用人正确导向，持续优化干部队伍结构，提升干部能力素质。加强行业高层次人才、青年优秀人才和高技能人才发现培养，为住建行业高质量发展提供有力人才支撑。深入推进重点领域立法，参照自治区出台的《内蒙古自治区城镇绿化条例》等文件，立足我市实际推动出台相应条例。严格落实重大行政决策程序制度，完善合法性审核和备案审查制度。全面推进严格规范公正文明执法，加强政务公开和政府信息公开，高质量做好人大代表建议和政协提案办理工作。开展住建家底大普查行动，全面摸清全市商品房基本情况，全面摸清地下管网老旧改造底数，全面摸清各类建筑企业数量。</w:t>
      </w:r>
    </w:p>
    <w:p>
      <w:pPr>
        <w:pStyle w:val="2"/>
      </w:pPr>
    </w:p>
    <w:p>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第二部分 单位决算情况说明</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一、收入支出决算总体情况说明</w:t>
      </w:r>
    </w:p>
    <w:p>
      <w:pPr>
        <w:widowControl/>
        <w:spacing w:before="240" w:after="240"/>
        <w:rPr>
          <w:rFonts w:ascii="Times New Roman" w:hAnsi="Times New Roman" w:eastAsia="Times New Roman" w:cs="Times New Roman"/>
          <w:kern w:val="0"/>
          <w:sz w:val="24"/>
          <w:u w:val="none" w:color="auto"/>
        </w:rPr>
      </w:pPr>
      <w:r>
        <w:rPr>
          <w:rFonts w:ascii="仿宋_GB2312" w:hAnsi="仿宋_GB2312" w:eastAsia="仿宋_GB2312" w:cs="仿宋_GB2312"/>
          <w:kern w:val="0"/>
          <w:sz w:val="27"/>
          <w:szCs w:val="27"/>
        </w:rPr>
        <w:t>   </w:t>
      </w:r>
      <w:r>
        <w:rPr>
          <w:rFonts w:ascii="仿宋_GB2312" w:hAnsi="仿宋_GB2312" w:eastAsia="仿宋_GB2312" w:cs="仿宋_GB2312"/>
          <w:color w:val="000000"/>
          <w:kern w:val="0"/>
          <w:sz w:val="27"/>
          <w:szCs w:val="27"/>
        </w:rPr>
        <w:t> 内蒙古</w:t>
      </w:r>
      <w:r>
        <w:rPr>
          <w:rFonts w:ascii="仿宋_GB2312" w:hAnsi="仿宋_GB2312" w:eastAsia="仿宋_GB2312" w:cs="仿宋_GB2312"/>
          <w:color w:val="000000"/>
          <w:kern w:val="0"/>
          <w:sz w:val="27"/>
          <w:szCs w:val="27"/>
          <w:u w:val="none" w:color="auto"/>
        </w:rPr>
        <w:t>自治区巴彦淖尔市住房和城乡建设局(本级) 2024年度收入、支出决算总计均为</w:t>
      </w:r>
      <w:r>
        <w:rPr>
          <w:rFonts w:eastAsia="Times New Roman"/>
          <w:color w:val="000000"/>
          <w:kern w:val="0"/>
          <w:sz w:val="27"/>
          <w:szCs w:val="27"/>
          <w:u w:val="none" w:color="auto"/>
        </w:rPr>
        <w:t xml:space="preserve"> 2581.69</w:t>
      </w:r>
      <w:r>
        <w:rPr>
          <w:rFonts w:ascii="仿宋_GB2312" w:hAnsi="仿宋_GB2312" w:eastAsia="仿宋_GB2312" w:cs="仿宋_GB2312"/>
          <w:color w:val="000000"/>
          <w:kern w:val="0"/>
          <w:sz w:val="27"/>
          <w:szCs w:val="27"/>
          <w:u w:val="none" w:color="auto"/>
        </w:rPr>
        <w:t>万元。与年初预算相比，收、支总计各减少</w:t>
      </w:r>
      <w:r>
        <w:rPr>
          <w:rFonts w:eastAsia="Times New Roman"/>
          <w:color w:val="000000"/>
          <w:kern w:val="0"/>
          <w:sz w:val="27"/>
          <w:szCs w:val="27"/>
          <w:u w:val="none" w:color="auto"/>
        </w:rPr>
        <w:t>1711.68</w:t>
      </w:r>
      <w:r>
        <w:rPr>
          <w:rFonts w:ascii="仿宋_GB2312" w:hAnsi="仿宋_GB2312" w:eastAsia="仿宋_GB2312" w:cs="仿宋_GB2312"/>
          <w:color w:val="000000"/>
          <w:kern w:val="0"/>
          <w:sz w:val="27"/>
          <w:szCs w:val="27"/>
          <w:u w:val="none" w:color="auto"/>
        </w:rPr>
        <w:t>万元，下降</w:t>
      </w:r>
      <w:r>
        <w:rPr>
          <w:rFonts w:eastAsia="Times New Roman"/>
          <w:color w:val="000000"/>
          <w:kern w:val="0"/>
          <w:sz w:val="27"/>
          <w:szCs w:val="27"/>
          <w:u w:val="none" w:color="auto"/>
        </w:rPr>
        <w:t>196.74</w:t>
      </w:r>
      <w:r>
        <w:rPr>
          <w:rFonts w:ascii="仿宋_GB2312" w:hAnsi="仿宋_GB2312" w:eastAsia="仿宋_GB2312" w:cs="仿宋_GB2312"/>
          <w:color w:val="000000"/>
          <w:kern w:val="0"/>
          <w:sz w:val="27"/>
          <w:szCs w:val="27"/>
          <w:u w:val="none" w:color="auto"/>
        </w:rPr>
        <w:t>%，变动原因：</w:t>
      </w:r>
      <w:r>
        <w:rPr>
          <w:rFonts w:hint="eastAsia" w:ascii="仿宋_GB2312" w:hAnsi="仿宋_GB2312" w:eastAsia="仿宋_GB2312" w:cs="仿宋_GB2312"/>
          <w:color w:val="000000"/>
          <w:kern w:val="0"/>
          <w:sz w:val="27"/>
          <w:szCs w:val="27"/>
          <w:u w:val="none" w:color="auto"/>
          <w:lang w:val="en-US" w:eastAsia="zh-CN"/>
        </w:rPr>
        <w:t>上年追加项目资金较多，本年度项目减少</w:t>
      </w:r>
      <w:r>
        <w:rPr>
          <w:rFonts w:ascii="仿宋_GB2312" w:hAnsi="仿宋_GB2312" w:eastAsia="仿宋_GB2312" w:cs="仿宋_GB2312"/>
          <w:color w:val="000000"/>
          <w:kern w:val="0"/>
          <w:sz w:val="27"/>
          <w:szCs w:val="27"/>
          <w:u w:val="none" w:color="auto"/>
        </w:rPr>
        <w:t>；与上年决算相比，收、支总计各减少</w:t>
      </w:r>
      <w:r>
        <w:rPr>
          <w:rFonts w:eastAsia="Times New Roman"/>
          <w:color w:val="000000"/>
          <w:kern w:val="0"/>
          <w:sz w:val="27"/>
          <w:szCs w:val="27"/>
          <w:u w:val="none" w:color="auto"/>
        </w:rPr>
        <w:t>1225.98</w:t>
      </w:r>
      <w:r>
        <w:rPr>
          <w:rFonts w:ascii="仿宋_GB2312" w:hAnsi="仿宋_GB2312" w:eastAsia="仿宋_GB2312" w:cs="仿宋_GB2312"/>
          <w:color w:val="000000"/>
          <w:kern w:val="0"/>
          <w:sz w:val="27"/>
          <w:szCs w:val="27"/>
          <w:u w:val="none" w:color="auto"/>
        </w:rPr>
        <w:t>万元，下降</w:t>
      </w:r>
      <w:r>
        <w:rPr>
          <w:rFonts w:eastAsia="Times New Roman"/>
          <w:color w:val="000000"/>
          <w:kern w:val="0"/>
          <w:sz w:val="27"/>
          <w:szCs w:val="27"/>
          <w:u w:val="none" w:color="auto"/>
        </w:rPr>
        <w:t>32.20</w:t>
      </w:r>
      <w:r>
        <w:rPr>
          <w:rFonts w:ascii="仿宋_GB2312" w:hAnsi="仿宋_GB2312" w:eastAsia="仿宋_GB2312" w:cs="仿宋_GB2312"/>
          <w:color w:val="000000"/>
          <w:kern w:val="0"/>
          <w:sz w:val="27"/>
          <w:szCs w:val="27"/>
          <w:u w:val="none" w:color="auto"/>
        </w:rPr>
        <w:t>%。其中：</w:t>
      </w:r>
    </w:p>
    <w:p>
      <w:pPr>
        <w:widowControl/>
        <w:spacing w:before="240" w:after="240"/>
        <w:jc w:val="left"/>
        <w:rPr>
          <w:rFonts w:ascii="Times New Roman" w:hAnsi="Times New Roman" w:eastAsia="Times New Roman" w:cs="Times New Roman"/>
          <w:kern w:val="0"/>
          <w:sz w:val="24"/>
          <w:u w:val="none" w:color="auto"/>
        </w:rPr>
      </w:pPr>
      <w:r>
        <w:rPr>
          <w:rFonts w:ascii="kai_ti_gb2312" w:hAnsi="kai_ti_gb2312" w:eastAsia="kai_ti_gb2312" w:cs="kai_ti_gb2312"/>
          <w:b/>
          <w:bCs/>
          <w:color w:val="000000"/>
          <w:kern w:val="0"/>
          <w:sz w:val="27"/>
          <w:szCs w:val="27"/>
          <w:u w:val="none" w:color="auto"/>
        </w:rPr>
        <w:t>    （一）收入决算总计</w:t>
      </w:r>
      <w:r>
        <w:rPr>
          <w:rFonts w:ascii="times_new_roman" w:hAnsi="times_new_roman" w:eastAsia="times_new_roman" w:cs="times_new_roman"/>
          <w:b/>
          <w:bCs/>
          <w:color w:val="000000"/>
          <w:kern w:val="0"/>
          <w:sz w:val="27"/>
          <w:szCs w:val="27"/>
          <w:u w:val="none" w:color="auto"/>
        </w:rPr>
        <w:t> </w:t>
      </w:r>
      <w:r>
        <w:rPr>
          <w:rFonts w:eastAsia="Times New Roman"/>
          <w:color w:val="000000"/>
          <w:kern w:val="0"/>
          <w:sz w:val="27"/>
          <w:szCs w:val="27"/>
          <w:u w:val="none" w:color="auto"/>
        </w:rPr>
        <w:t>2581.69</w:t>
      </w:r>
      <w:r>
        <w:rPr>
          <w:rFonts w:ascii="kai_ti_gb2312" w:hAnsi="kai_ti_gb2312" w:eastAsia="kai_ti_gb2312" w:cs="kai_ti_gb2312"/>
          <w:b/>
          <w:bCs/>
          <w:color w:val="000000"/>
          <w:kern w:val="0"/>
          <w:sz w:val="27"/>
          <w:szCs w:val="27"/>
          <w:u w:val="none" w:color="auto"/>
        </w:rPr>
        <w:t>万元。包括：</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u w:val="none" w:color="auto"/>
        </w:rPr>
      </w:pPr>
      <w:r>
        <w:rPr>
          <w:rFonts w:ascii="仿宋_GB2312" w:hAnsi="仿宋_GB2312" w:eastAsia="仿宋_GB2312" w:cs="仿宋_GB2312"/>
          <w:color w:val="000000"/>
          <w:kern w:val="0"/>
          <w:sz w:val="27"/>
          <w:szCs w:val="27"/>
          <w:u w:val="none" w:color="auto"/>
        </w:rPr>
        <w:t>    1.本年收入决算合计</w:t>
      </w:r>
      <w:r>
        <w:rPr>
          <w:rFonts w:ascii="times_new_roman" w:hAnsi="times_new_roman" w:eastAsia="times_new_roman" w:cs="times_new_roman"/>
          <w:color w:val="000000"/>
          <w:kern w:val="0"/>
          <w:sz w:val="27"/>
          <w:szCs w:val="27"/>
          <w:u w:val="none" w:color="auto"/>
        </w:rPr>
        <w:t> </w:t>
      </w:r>
      <w:r>
        <w:rPr>
          <w:rFonts w:hint="eastAsia" w:ascii="仿宋" w:hAnsi="仿宋" w:eastAsia="仿宋" w:cs="仿宋"/>
          <w:b w:val="0"/>
          <w:bCs w:val="0"/>
          <w:color w:val="000000"/>
          <w:kern w:val="0"/>
          <w:sz w:val="27"/>
          <w:szCs w:val="27"/>
          <w:u w:val="none" w:color="auto"/>
        </w:rPr>
        <w:t>1411.62</w:t>
      </w:r>
      <w:r>
        <w:rPr>
          <w:rFonts w:ascii="仿宋_GB2312" w:hAnsi="仿宋_GB2312" w:eastAsia="仿宋_GB2312" w:cs="仿宋_GB2312"/>
          <w:color w:val="000000"/>
          <w:kern w:val="0"/>
          <w:sz w:val="27"/>
          <w:szCs w:val="27"/>
          <w:u w:val="none" w:color="auto"/>
        </w:rPr>
        <w:t>万元。与上年决算相比，</w:t>
      </w:r>
      <w:r>
        <w:rPr>
          <w:rFonts w:hint="eastAsia" w:ascii="仿宋_GB2312" w:hAnsi="仿宋_GB2312" w:eastAsia="仿宋_GB2312" w:cs="仿宋_GB2312"/>
          <w:color w:val="000000"/>
          <w:kern w:val="0"/>
          <w:sz w:val="27"/>
          <w:szCs w:val="27"/>
          <w:u w:val="none" w:color="auto"/>
          <w:lang w:val="en-US" w:eastAsia="zh-CN"/>
        </w:rPr>
        <w:t>减少</w:t>
      </w:r>
      <w:r>
        <w:rPr>
          <w:rFonts w:hint="eastAsia" w:ascii="仿宋" w:hAnsi="仿宋" w:eastAsia="仿宋" w:cs="仿宋"/>
          <w:b w:val="0"/>
          <w:bCs w:val="0"/>
          <w:color w:val="000000"/>
          <w:kern w:val="0"/>
          <w:sz w:val="27"/>
          <w:szCs w:val="27"/>
          <w:u w:val="none" w:color="auto"/>
        </w:rPr>
        <w:t>1225.98</w:t>
      </w:r>
      <w:r>
        <w:rPr>
          <w:rFonts w:ascii="仿宋_GB2312" w:hAnsi="仿宋_GB2312" w:eastAsia="仿宋_GB2312" w:cs="仿宋_GB2312"/>
          <w:color w:val="000000"/>
          <w:kern w:val="0"/>
          <w:sz w:val="27"/>
          <w:szCs w:val="27"/>
          <w:u w:val="none" w:color="auto"/>
        </w:rPr>
        <w:t>万元，下降</w:t>
      </w:r>
      <w:r>
        <w:rPr>
          <w:rFonts w:hint="eastAsia" w:ascii="仿宋" w:hAnsi="仿宋" w:eastAsia="仿宋" w:cs="仿宋"/>
          <w:b w:val="0"/>
          <w:bCs w:val="0"/>
          <w:color w:val="000000"/>
          <w:kern w:val="0"/>
          <w:sz w:val="27"/>
          <w:szCs w:val="27"/>
          <w:u w:val="none" w:color="auto"/>
        </w:rPr>
        <w:t>46.48</w:t>
      </w:r>
      <w:r>
        <w:rPr>
          <w:rFonts w:ascii="仿宋_GB2312" w:hAnsi="仿宋_GB2312" w:eastAsia="仿宋_GB2312" w:cs="仿宋_GB2312"/>
          <w:color w:val="000000"/>
          <w:kern w:val="0"/>
          <w:sz w:val="27"/>
          <w:szCs w:val="27"/>
          <w:u w:val="none" w:color="auto"/>
        </w:rPr>
        <w:t>%，变动原因：</w:t>
      </w:r>
      <w:r>
        <w:rPr>
          <w:rFonts w:hint="eastAsia" w:ascii="仿宋_GB2312" w:hAnsi="仿宋_GB2312" w:eastAsia="仿宋_GB2312" w:cs="仿宋_GB2312"/>
          <w:color w:val="000000"/>
          <w:kern w:val="0"/>
          <w:sz w:val="27"/>
          <w:szCs w:val="27"/>
          <w:u w:val="none" w:color="auto"/>
          <w:lang w:val="en-US" w:eastAsia="zh-CN"/>
        </w:rPr>
        <w:t>上年追加项目资金较多，本年度项目减少</w:t>
      </w:r>
      <w:r>
        <w:rPr>
          <w:rFonts w:ascii="仿宋_GB2312" w:hAnsi="仿宋_GB2312" w:eastAsia="仿宋_GB2312" w:cs="仿宋_GB2312"/>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u w:val="none" w:color="auto"/>
        </w:rPr>
      </w:pPr>
      <w:r>
        <w:rPr>
          <w:rFonts w:ascii="仿宋_GB2312" w:hAnsi="仿宋_GB2312" w:eastAsia="仿宋_GB2312" w:cs="仿宋_GB2312"/>
          <w:color w:val="000000"/>
          <w:kern w:val="0"/>
          <w:sz w:val="27"/>
          <w:szCs w:val="27"/>
          <w:u w:val="none" w:color="auto"/>
        </w:rPr>
        <w:t>    2.使用非财政拨款结余（含专用结余）</w:t>
      </w:r>
      <w:r>
        <w:rPr>
          <w:rFonts w:eastAsia="Times New Roman"/>
          <w:color w:val="000000"/>
          <w:kern w:val="0"/>
          <w:sz w:val="27"/>
          <w:szCs w:val="27"/>
          <w:u w:val="none" w:color="auto"/>
        </w:rPr>
        <w:t xml:space="preserve"> 0</w:t>
      </w:r>
      <w:r>
        <w:rPr>
          <w:rFonts w:ascii="仿宋_GB2312" w:hAnsi="仿宋_GB2312" w:eastAsia="仿宋_GB2312" w:cs="仿宋_GB2312"/>
          <w:color w:val="000000"/>
          <w:kern w:val="0"/>
          <w:sz w:val="27"/>
          <w:szCs w:val="27"/>
          <w:u w:val="none" w:color="auto"/>
        </w:rPr>
        <w:t>万元。与上年决算相比，增加（减少）</w:t>
      </w:r>
      <w:r>
        <w:rPr>
          <w:rFonts w:eastAsia="Times New Roman"/>
          <w:color w:val="000000"/>
          <w:kern w:val="0"/>
          <w:sz w:val="27"/>
          <w:szCs w:val="27"/>
          <w:u w:val="none" w:color="auto"/>
        </w:rPr>
        <w:t xml:space="preserve"> 0</w:t>
      </w:r>
      <w:r>
        <w:rPr>
          <w:rFonts w:ascii="仿宋_GB2312" w:hAnsi="仿宋_GB2312" w:eastAsia="仿宋_GB2312" w:cs="仿宋_GB2312"/>
          <w:color w:val="000000"/>
          <w:kern w:val="0"/>
          <w:sz w:val="27"/>
          <w:szCs w:val="27"/>
          <w:u w:val="none" w:color="auto"/>
        </w:rPr>
        <w:t>万元，增长（下降）</w:t>
      </w:r>
      <w:r>
        <w:rPr>
          <w:rFonts w:eastAsia="Times New Roman"/>
          <w:color w:val="000000"/>
          <w:kern w:val="0"/>
          <w:sz w:val="27"/>
          <w:szCs w:val="27"/>
          <w:u w:val="none" w:color="auto"/>
        </w:rPr>
        <w:t xml:space="preserve"> 0</w:t>
      </w:r>
      <w:r>
        <w:rPr>
          <w:rFonts w:ascii="仿宋_GB2312" w:hAnsi="仿宋_GB2312" w:eastAsia="仿宋_GB2312" w:cs="仿宋_GB2312"/>
          <w:color w:val="000000"/>
          <w:kern w:val="0"/>
          <w:sz w:val="27"/>
          <w:szCs w:val="27"/>
          <w:u w:val="none" w:color="auto"/>
        </w:rPr>
        <w:t>%，</w:t>
      </w:r>
      <w:r>
        <w:rPr>
          <w:rFonts w:hint="eastAsia" w:ascii="仿宋_GB2312" w:hAnsi="仿宋_GB2312" w:eastAsia="仿宋_GB2312" w:cs="仿宋_GB2312"/>
          <w:color w:val="000000"/>
          <w:kern w:val="0"/>
          <w:sz w:val="27"/>
          <w:szCs w:val="27"/>
          <w:u w:val="none" w:color="auto"/>
          <w:lang w:val="en-US" w:eastAsia="zh-CN"/>
        </w:rPr>
        <w:t>无</w:t>
      </w:r>
      <w:r>
        <w:rPr>
          <w:rFonts w:ascii="仿宋_GB2312" w:hAnsi="仿宋_GB2312" w:eastAsia="仿宋_GB2312" w:cs="仿宋_GB2312"/>
          <w:color w:val="000000"/>
          <w:kern w:val="0"/>
          <w:sz w:val="27"/>
          <w:szCs w:val="27"/>
          <w:u w:val="none" w:color="auto"/>
        </w:rPr>
        <w:t>变动。</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u w:val="none" w:color="auto"/>
        </w:rPr>
      </w:pPr>
      <w:r>
        <w:rPr>
          <w:rFonts w:ascii="仿宋_GB2312" w:hAnsi="仿宋_GB2312" w:eastAsia="仿宋_GB2312" w:cs="仿宋_GB2312"/>
          <w:color w:val="000000"/>
          <w:kern w:val="0"/>
          <w:sz w:val="27"/>
          <w:szCs w:val="27"/>
          <w:u w:val="none" w:color="auto"/>
        </w:rPr>
        <w:t>    3.年初结转和结余 </w:t>
      </w:r>
      <w:r>
        <w:rPr>
          <w:rFonts w:hint="eastAsia" w:ascii="仿宋" w:hAnsi="仿宋" w:eastAsia="仿宋" w:cs="仿宋"/>
          <w:b w:val="0"/>
          <w:bCs w:val="0"/>
          <w:color w:val="000000"/>
          <w:kern w:val="0"/>
          <w:sz w:val="27"/>
          <w:szCs w:val="27"/>
          <w:u w:val="none" w:color="auto"/>
        </w:rPr>
        <w:t>1170.07</w:t>
      </w:r>
      <w:r>
        <w:rPr>
          <w:rFonts w:ascii="仿宋_GB2312" w:hAnsi="仿宋_GB2312" w:eastAsia="仿宋_GB2312" w:cs="仿宋_GB2312"/>
          <w:color w:val="000000"/>
          <w:kern w:val="0"/>
          <w:sz w:val="27"/>
          <w:szCs w:val="27"/>
          <w:u w:val="none" w:color="auto"/>
        </w:rPr>
        <w:t>万元。与上年决算相比，增加（减少）</w:t>
      </w:r>
      <w:r>
        <w:rPr>
          <w:rFonts w:hint="eastAsia" w:ascii="仿宋" w:hAnsi="仿宋" w:eastAsia="仿宋" w:cs="仿宋"/>
          <w:b w:val="0"/>
          <w:bCs w:val="0"/>
          <w:color w:val="000000"/>
          <w:kern w:val="0"/>
          <w:sz w:val="27"/>
          <w:szCs w:val="27"/>
          <w:u w:val="none" w:color="auto"/>
        </w:rPr>
        <w:t> 0</w:t>
      </w:r>
      <w:r>
        <w:rPr>
          <w:rFonts w:ascii="仿宋_GB2312" w:hAnsi="仿宋_GB2312" w:eastAsia="仿宋_GB2312" w:cs="仿宋_GB2312"/>
          <w:color w:val="000000"/>
          <w:kern w:val="0"/>
          <w:sz w:val="27"/>
          <w:szCs w:val="27"/>
          <w:u w:val="none" w:color="auto"/>
        </w:rPr>
        <w:t>万元，增长（下降）</w:t>
      </w:r>
      <w:r>
        <w:rPr>
          <w:rFonts w:hint="eastAsia" w:ascii="仿宋" w:hAnsi="仿宋" w:eastAsia="仿宋" w:cs="仿宋"/>
          <w:b w:val="0"/>
          <w:bCs w:val="0"/>
          <w:color w:val="000000"/>
          <w:kern w:val="0"/>
          <w:sz w:val="27"/>
          <w:szCs w:val="27"/>
          <w:u w:val="none" w:color="auto"/>
        </w:rPr>
        <w:t> 0</w:t>
      </w:r>
      <w:r>
        <w:rPr>
          <w:rFonts w:ascii="仿宋_GB2312" w:hAnsi="仿宋_GB2312" w:eastAsia="仿宋_GB2312" w:cs="仿宋_GB2312"/>
          <w:color w:val="000000"/>
          <w:kern w:val="0"/>
          <w:sz w:val="27"/>
          <w:szCs w:val="27"/>
          <w:u w:val="none" w:color="auto"/>
        </w:rPr>
        <w:t>%，</w:t>
      </w:r>
      <w:r>
        <w:rPr>
          <w:rFonts w:hint="eastAsia" w:ascii="仿宋_GB2312" w:hAnsi="仿宋_GB2312" w:eastAsia="仿宋_GB2312" w:cs="仿宋_GB2312"/>
          <w:color w:val="000000"/>
          <w:kern w:val="0"/>
          <w:sz w:val="27"/>
          <w:szCs w:val="27"/>
          <w:u w:val="none" w:color="auto"/>
          <w:lang w:val="en-US" w:eastAsia="zh-CN"/>
        </w:rPr>
        <w:t>无</w:t>
      </w:r>
      <w:r>
        <w:rPr>
          <w:rFonts w:ascii="仿宋_GB2312" w:hAnsi="仿宋_GB2312" w:eastAsia="仿宋_GB2312" w:cs="仿宋_GB2312"/>
          <w:color w:val="000000"/>
          <w:kern w:val="0"/>
          <w:sz w:val="27"/>
          <w:szCs w:val="27"/>
          <w:u w:val="none" w:color="auto"/>
        </w:rPr>
        <w:t>变动。</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u w:val="none" w:color="auto"/>
        </w:rPr>
      </w:pPr>
      <w:r>
        <w:rPr>
          <w:rFonts w:ascii="kai_ti_gb2312" w:hAnsi="kai_ti_gb2312" w:eastAsia="kai_ti_gb2312" w:cs="kai_ti_gb2312"/>
          <w:b/>
          <w:bCs/>
          <w:color w:val="000000"/>
          <w:kern w:val="0"/>
          <w:sz w:val="27"/>
          <w:szCs w:val="27"/>
          <w:u w:val="none" w:color="auto"/>
        </w:rPr>
        <w:t>    （二）支出决算总计</w:t>
      </w:r>
      <w:r>
        <w:rPr>
          <w:rFonts w:hint="eastAsia" w:ascii="仿宋" w:hAnsi="仿宋" w:eastAsia="仿宋" w:cs="仿宋"/>
          <w:b w:val="0"/>
          <w:bCs w:val="0"/>
          <w:color w:val="000000"/>
          <w:kern w:val="0"/>
          <w:sz w:val="27"/>
          <w:szCs w:val="27"/>
          <w:u w:val="none" w:color="auto"/>
        </w:rPr>
        <w:t> 2581.69</w:t>
      </w:r>
      <w:r>
        <w:rPr>
          <w:rFonts w:ascii="kai_ti_gb2312" w:hAnsi="kai_ti_gb2312" w:eastAsia="kai_ti_gb2312" w:cs="kai_ti_gb2312"/>
          <w:b/>
          <w:bCs/>
          <w:color w:val="000000"/>
          <w:kern w:val="0"/>
          <w:sz w:val="27"/>
          <w:szCs w:val="27"/>
          <w:u w:val="none" w:color="auto"/>
        </w:rPr>
        <w:t>万元。包括：</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u w:val="none" w:color="auto"/>
        </w:rPr>
      </w:pPr>
      <w:r>
        <w:rPr>
          <w:rFonts w:ascii="仿宋_GB2312" w:hAnsi="仿宋_GB2312" w:eastAsia="仿宋_GB2312" w:cs="仿宋_GB2312"/>
          <w:color w:val="000000"/>
          <w:kern w:val="0"/>
          <w:sz w:val="27"/>
          <w:szCs w:val="27"/>
          <w:u w:val="none" w:color="auto"/>
        </w:rPr>
        <w:t>    1.本年支出决算合计</w:t>
      </w:r>
      <w:r>
        <w:rPr>
          <w:rFonts w:hint="eastAsia" w:ascii="仿宋" w:hAnsi="仿宋" w:eastAsia="仿宋" w:cs="仿宋"/>
          <w:b w:val="0"/>
          <w:bCs w:val="0"/>
          <w:color w:val="000000"/>
          <w:kern w:val="0"/>
          <w:sz w:val="27"/>
          <w:szCs w:val="27"/>
          <w:u w:val="none" w:color="auto"/>
        </w:rPr>
        <w:t> 1411.62</w:t>
      </w:r>
      <w:r>
        <w:rPr>
          <w:rFonts w:ascii="仿宋_GB2312" w:hAnsi="仿宋_GB2312" w:eastAsia="仿宋_GB2312" w:cs="仿宋_GB2312"/>
          <w:color w:val="000000"/>
          <w:kern w:val="0"/>
          <w:sz w:val="27"/>
          <w:szCs w:val="27"/>
          <w:u w:val="none" w:color="auto"/>
        </w:rPr>
        <w:t>万元。与上年决算相比，减少</w:t>
      </w:r>
      <w:r>
        <w:rPr>
          <w:rFonts w:hint="eastAsia" w:ascii="仿宋" w:hAnsi="仿宋" w:eastAsia="仿宋" w:cs="仿宋"/>
          <w:b w:val="0"/>
          <w:bCs w:val="0"/>
          <w:color w:val="000000"/>
          <w:kern w:val="0"/>
          <w:sz w:val="27"/>
          <w:szCs w:val="27"/>
          <w:u w:val="none" w:color="auto"/>
        </w:rPr>
        <w:t>1225.98</w:t>
      </w:r>
      <w:r>
        <w:rPr>
          <w:rFonts w:ascii="仿宋_GB2312" w:hAnsi="仿宋_GB2312" w:eastAsia="仿宋_GB2312" w:cs="仿宋_GB2312"/>
          <w:color w:val="000000"/>
          <w:kern w:val="0"/>
          <w:sz w:val="27"/>
          <w:szCs w:val="27"/>
          <w:u w:val="none" w:color="auto"/>
        </w:rPr>
        <w:t>万元，下降</w:t>
      </w:r>
      <w:r>
        <w:rPr>
          <w:rFonts w:hint="eastAsia" w:ascii="仿宋" w:hAnsi="仿宋" w:eastAsia="仿宋" w:cs="仿宋"/>
          <w:b w:val="0"/>
          <w:bCs w:val="0"/>
          <w:color w:val="000000"/>
          <w:kern w:val="0"/>
          <w:sz w:val="27"/>
          <w:szCs w:val="27"/>
          <w:u w:val="none" w:color="auto"/>
        </w:rPr>
        <w:t>46.48</w:t>
      </w:r>
      <w:r>
        <w:rPr>
          <w:rFonts w:ascii="仿宋_GB2312" w:hAnsi="仿宋_GB2312" w:eastAsia="仿宋_GB2312" w:cs="仿宋_GB2312"/>
          <w:color w:val="000000"/>
          <w:kern w:val="0"/>
          <w:sz w:val="27"/>
          <w:szCs w:val="27"/>
          <w:u w:val="none" w:color="auto"/>
        </w:rPr>
        <w:t>%，变动原因：</w:t>
      </w:r>
      <w:r>
        <w:rPr>
          <w:rFonts w:hint="eastAsia" w:ascii="仿宋_GB2312" w:hAnsi="仿宋_GB2312" w:eastAsia="仿宋_GB2312" w:cs="仿宋_GB2312"/>
          <w:color w:val="000000"/>
          <w:kern w:val="0"/>
          <w:sz w:val="27"/>
          <w:szCs w:val="27"/>
          <w:u w:val="none" w:color="auto"/>
          <w:lang w:val="en-US" w:eastAsia="zh-CN"/>
        </w:rPr>
        <w:t>上年追加项目资金较多，本年度项目减少</w:t>
      </w:r>
      <w:r>
        <w:rPr>
          <w:rFonts w:ascii="仿宋_GB2312" w:hAnsi="仿宋_GB2312" w:eastAsia="仿宋_GB2312" w:cs="仿宋_GB2312"/>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u w:val="none" w:color="auto"/>
        </w:rPr>
      </w:pPr>
      <w:r>
        <w:rPr>
          <w:rFonts w:ascii="仿宋_GB2312" w:hAnsi="仿宋_GB2312" w:eastAsia="仿宋_GB2312" w:cs="仿宋_GB2312"/>
          <w:color w:val="000000"/>
          <w:kern w:val="0"/>
          <w:sz w:val="27"/>
          <w:szCs w:val="27"/>
          <w:u w:val="none" w:color="auto"/>
        </w:rPr>
        <w:t>    2.结余分配</w:t>
      </w:r>
      <w:r>
        <w:rPr>
          <w:rFonts w:hint="eastAsia" w:ascii="仿宋" w:hAnsi="仿宋" w:eastAsia="仿宋" w:cs="仿宋"/>
          <w:b w:val="0"/>
          <w:bCs w:val="0"/>
          <w:color w:val="000000"/>
          <w:kern w:val="0"/>
          <w:sz w:val="27"/>
          <w:szCs w:val="27"/>
          <w:u w:val="none" w:color="auto"/>
        </w:rPr>
        <w:t> 0</w:t>
      </w:r>
      <w:r>
        <w:rPr>
          <w:rFonts w:ascii="仿宋_GB2312" w:hAnsi="仿宋_GB2312" w:eastAsia="仿宋_GB2312" w:cs="仿宋_GB2312"/>
          <w:color w:val="000000"/>
          <w:kern w:val="0"/>
          <w:sz w:val="27"/>
          <w:szCs w:val="27"/>
          <w:u w:val="none" w:color="auto"/>
        </w:rPr>
        <w:t>万元。结余分配事项：……。与上年决算相比，增加（减少）</w:t>
      </w:r>
      <w:r>
        <w:rPr>
          <w:rFonts w:hint="eastAsia" w:ascii="仿宋" w:hAnsi="仿宋" w:eastAsia="仿宋" w:cs="仿宋"/>
          <w:b w:val="0"/>
          <w:bCs w:val="0"/>
          <w:color w:val="000000"/>
          <w:kern w:val="0"/>
          <w:sz w:val="27"/>
          <w:szCs w:val="27"/>
          <w:u w:val="none" w:color="auto"/>
        </w:rPr>
        <w:t> 0</w:t>
      </w:r>
      <w:r>
        <w:rPr>
          <w:rFonts w:ascii="仿宋_GB2312" w:hAnsi="仿宋_GB2312" w:eastAsia="仿宋_GB2312" w:cs="仿宋_GB2312"/>
          <w:color w:val="000000"/>
          <w:kern w:val="0"/>
          <w:sz w:val="27"/>
          <w:szCs w:val="27"/>
          <w:u w:val="none" w:color="auto"/>
        </w:rPr>
        <w:t>万元，增长（下降）</w:t>
      </w:r>
      <w:r>
        <w:rPr>
          <w:rFonts w:ascii="times_new_roman" w:hAnsi="times_new_roman" w:eastAsia="times_new_roman" w:cs="times_new_roman"/>
          <w:color w:val="000000"/>
          <w:kern w:val="0"/>
          <w:sz w:val="27"/>
          <w:szCs w:val="27"/>
          <w:u w:val="none" w:color="auto"/>
        </w:rPr>
        <w:t> </w:t>
      </w:r>
      <w:r>
        <w:rPr>
          <w:rFonts w:hint="eastAsia" w:ascii="仿宋" w:hAnsi="仿宋" w:eastAsia="仿宋" w:cs="仿宋"/>
          <w:b w:val="0"/>
          <w:bCs w:val="0"/>
          <w:color w:val="000000"/>
          <w:kern w:val="0"/>
          <w:sz w:val="27"/>
          <w:szCs w:val="27"/>
          <w:u w:val="none" w:color="auto"/>
        </w:rPr>
        <w:t>0</w:t>
      </w:r>
      <w:r>
        <w:rPr>
          <w:rFonts w:ascii="仿宋_GB2312" w:hAnsi="仿宋_GB2312" w:eastAsia="仿宋_GB2312" w:cs="仿宋_GB2312"/>
          <w:color w:val="000000"/>
          <w:kern w:val="0"/>
          <w:sz w:val="27"/>
          <w:szCs w:val="27"/>
          <w:u w:val="none" w:color="auto"/>
        </w:rPr>
        <w:t>%，</w:t>
      </w:r>
      <w:r>
        <w:rPr>
          <w:rFonts w:hint="eastAsia" w:ascii="仿宋_GB2312" w:hAnsi="仿宋_GB2312" w:eastAsia="仿宋_GB2312" w:cs="仿宋_GB2312"/>
          <w:color w:val="000000"/>
          <w:kern w:val="0"/>
          <w:sz w:val="27"/>
          <w:szCs w:val="27"/>
          <w:u w:val="none" w:color="auto"/>
          <w:lang w:val="en-US" w:eastAsia="zh-CN"/>
        </w:rPr>
        <w:t>无</w:t>
      </w:r>
      <w:r>
        <w:rPr>
          <w:rFonts w:ascii="仿宋_GB2312" w:hAnsi="仿宋_GB2312" w:eastAsia="仿宋_GB2312" w:cs="仿宋_GB2312"/>
          <w:color w:val="000000"/>
          <w:kern w:val="0"/>
          <w:sz w:val="27"/>
          <w:szCs w:val="27"/>
          <w:u w:val="none" w:color="auto"/>
        </w:rPr>
        <w:t>变动。</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u w:val="none" w:color="auto"/>
        </w:rPr>
      </w:pPr>
      <w:r>
        <w:rPr>
          <w:rFonts w:ascii="仿宋_GB2312" w:hAnsi="仿宋_GB2312" w:eastAsia="仿宋_GB2312" w:cs="仿宋_GB2312"/>
          <w:color w:val="000000"/>
          <w:kern w:val="0"/>
          <w:sz w:val="27"/>
          <w:szCs w:val="27"/>
          <w:u w:val="none" w:color="auto"/>
        </w:rPr>
        <w:t>    3.年末结转和结余</w:t>
      </w:r>
      <w:r>
        <w:rPr>
          <w:rFonts w:hint="eastAsia" w:ascii="仿宋" w:hAnsi="仿宋" w:eastAsia="仿宋" w:cs="仿宋"/>
          <w:b w:val="0"/>
          <w:bCs w:val="0"/>
          <w:color w:val="000000"/>
          <w:kern w:val="0"/>
          <w:sz w:val="27"/>
          <w:szCs w:val="27"/>
          <w:u w:val="none" w:color="auto"/>
        </w:rPr>
        <w:t> 1170.07</w:t>
      </w:r>
      <w:r>
        <w:rPr>
          <w:rFonts w:ascii="仿宋_GB2312" w:hAnsi="仿宋_GB2312" w:eastAsia="仿宋_GB2312" w:cs="仿宋_GB2312"/>
          <w:color w:val="000000"/>
          <w:kern w:val="0"/>
          <w:sz w:val="27"/>
          <w:szCs w:val="27"/>
          <w:u w:val="none" w:color="auto"/>
        </w:rPr>
        <w:t>万元。结转和结余事项：……。与上年决算相比，增加（减少）</w:t>
      </w:r>
      <w:r>
        <w:rPr>
          <w:rFonts w:ascii="times_new_roman" w:hAnsi="times_new_roman" w:eastAsia="times_new_roman" w:cs="times_new_roman"/>
          <w:color w:val="000000"/>
          <w:kern w:val="0"/>
          <w:sz w:val="27"/>
          <w:szCs w:val="27"/>
          <w:u w:val="none" w:color="auto"/>
        </w:rPr>
        <w:t> </w:t>
      </w:r>
      <w:r>
        <w:rPr>
          <w:rFonts w:hint="eastAsia" w:ascii="仿宋" w:hAnsi="仿宋" w:eastAsia="仿宋" w:cs="仿宋"/>
          <w:b w:val="0"/>
          <w:bCs w:val="0"/>
          <w:color w:val="000000"/>
          <w:kern w:val="0"/>
          <w:sz w:val="27"/>
          <w:szCs w:val="27"/>
          <w:u w:val="none" w:color="auto"/>
        </w:rPr>
        <w:t>0</w:t>
      </w:r>
      <w:r>
        <w:rPr>
          <w:rFonts w:ascii="仿宋_GB2312" w:hAnsi="仿宋_GB2312" w:eastAsia="仿宋_GB2312" w:cs="仿宋_GB2312"/>
          <w:color w:val="000000"/>
          <w:kern w:val="0"/>
          <w:sz w:val="27"/>
          <w:szCs w:val="27"/>
          <w:u w:val="none" w:color="auto"/>
        </w:rPr>
        <w:t>万元，增长（下降）</w:t>
      </w:r>
      <w:r>
        <w:rPr>
          <w:rFonts w:ascii="times_new_roman" w:hAnsi="times_new_roman" w:eastAsia="times_new_roman" w:cs="times_new_roman"/>
          <w:color w:val="000000"/>
          <w:kern w:val="0"/>
          <w:sz w:val="27"/>
          <w:szCs w:val="27"/>
          <w:u w:val="none" w:color="auto"/>
        </w:rPr>
        <w:t> </w:t>
      </w:r>
      <w:r>
        <w:rPr>
          <w:rFonts w:hint="eastAsia" w:ascii="仿宋" w:hAnsi="仿宋" w:eastAsia="仿宋" w:cs="仿宋"/>
          <w:b w:val="0"/>
          <w:bCs w:val="0"/>
          <w:color w:val="000000"/>
          <w:kern w:val="0"/>
          <w:sz w:val="27"/>
          <w:szCs w:val="27"/>
          <w:u w:val="none" w:color="auto"/>
        </w:rPr>
        <w:t>0</w:t>
      </w:r>
      <w:r>
        <w:rPr>
          <w:rFonts w:ascii="仿宋_GB2312" w:hAnsi="仿宋_GB2312" w:eastAsia="仿宋_GB2312" w:cs="仿宋_GB2312"/>
          <w:color w:val="000000"/>
          <w:kern w:val="0"/>
          <w:sz w:val="27"/>
          <w:szCs w:val="27"/>
          <w:u w:val="none" w:color="auto"/>
        </w:rPr>
        <w:t>%，</w:t>
      </w:r>
      <w:r>
        <w:rPr>
          <w:rFonts w:hint="eastAsia" w:ascii="仿宋_GB2312" w:hAnsi="仿宋_GB2312" w:eastAsia="仿宋_GB2312" w:cs="仿宋_GB2312"/>
          <w:color w:val="000000"/>
          <w:kern w:val="0"/>
          <w:sz w:val="27"/>
          <w:szCs w:val="27"/>
          <w:u w:val="none" w:color="auto"/>
          <w:lang w:val="en-US" w:eastAsia="zh-CN"/>
        </w:rPr>
        <w:t>无</w:t>
      </w:r>
      <w:r>
        <w:rPr>
          <w:rFonts w:ascii="仿宋_GB2312" w:hAnsi="仿宋_GB2312" w:eastAsia="仿宋_GB2312" w:cs="仿宋_GB2312"/>
          <w:color w:val="000000"/>
          <w:kern w:val="0"/>
          <w:sz w:val="27"/>
          <w:szCs w:val="27"/>
          <w:u w:val="none" w:color="auto"/>
        </w:rPr>
        <w:t>变动。</w:t>
      </w:r>
    </w:p>
    <w:p>
      <w:pPr>
        <w:keepNext w:val="0"/>
        <w:keepLines w:val="0"/>
        <w:pageBreakBefore w:val="0"/>
        <w:widowControl/>
        <w:kinsoku/>
        <w:wordWrap/>
        <w:overflowPunct/>
        <w:topLinePunct w:val="0"/>
        <w:autoSpaceDE/>
        <w:autoSpaceDN/>
        <w:bidi w:val="0"/>
        <w:adjustRightInd/>
        <w:snapToGrid/>
        <w:ind w:firstLine="393"/>
        <w:jc w:val="left"/>
        <w:textAlignment w:val="auto"/>
        <w:rPr>
          <w:rFonts w:ascii="黑体" w:hAnsi="黑体" w:eastAsia="黑体" w:cs="黑体"/>
          <w:b/>
          <w:bCs/>
          <w:kern w:val="0"/>
          <w:sz w:val="27"/>
          <w:szCs w:val="27"/>
          <w:u w:val="none" w:color="auto"/>
        </w:rPr>
      </w:pPr>
      <w:r>
        <w:rPr>
          <w:rFonts w:ascii="黑体" w:hAnsi="黑体" w:eastAsia="黑体" w:cs="黑体"/>
          <w:b/>
          <w:bCs/>
          <w:kern w:val="0"/>
          <w:sz w:val="27"/>
          <w:szCs w:val="27"/>
          <w:u w:val="none" w:color="auto"/>
        </w:rPr>
        <w:t>二、收入决算情况说明</w:t>
      </w:r>
    </w:p>
    <w:p>
      <w:pPr>
        <w:keepNext w:val="0"/>
        <w:keepLines w:val="0"/>
        <w:pageBreakBefore w:val="0"/>
        <w:widowControl/>
        <w:kinsoku/>
        <w:wordWrap/>
        <w:overflowPunct/>
        <w:topLinePunct w:val="0"/>
        <w:autoSpaceDE/>
        <w:autoSpaceDN/>
        <w:bidi w:val="0"/>
        <w:adjustRightInd/>
        <w:snapToGrid/>
        <w:ind w:firstLine="393"/>
        <w:jc w:val="left"/>
        <w:textAlignment w:val="auto"/>
        <w:rPr>
          <w:rFonts w:ascii="Times New Roman" w:hAnsi="Times New Roman" w:eastAsia="Times New Roman" w:cs="Times New Roman"/>
          <w:kern w:val="0"/>
          <w:sz w:val="24"/>
          <w:u w:val="none" w:color="auto"/>
        </w:rPr>
      </w:pPr>
      <w:r>
        <w:rPr>
          <w:rFonts w:ascii="仿宋_GB2312" w:hAnsi="仿宋_GB2312" w:eastAsia="仿宋_GB2312" w:cs="仿宋_GB2312"/>
          <w:kern w:val="0"/>
          <w:sz w:val="27"/>
          <w:szCs w:val="27"/>
          <w:u w:val="none" w:color="auto"/>
        </w:rPr>
        <w:t xml:space="preserve">    </w:t>
      </w:r>
      <w:r>
        <w:rPr>
          <w:rFonts w:ascii="仿宋_GB2312" w:hAnsi="仿宋_GB2312" w:eastAsia="仿宋_GB2312" w:cs="仿宋_GB2312"/>
          <w:color w:val="000000"/>
          <w:kern w:val="0"/>
          <w:sz w:val="27"/>
          <w:szCs w:val="27"/>
          <w:u w:val="none" w:color="auto"/>
        </w:rPr>
        <w:t>内蒙古自治区巴彦淖尔市住房和城乡建设局(本级) </w:t>
      </w:r>
      <w:r>
        <w:rPr>
          <w:rFonts w:hint="eastAsia" w:ascii="仿宋" w:hAnsi="仿宋" w:eastAsia="仿宋" w:cs="仿宋"/>
          <w:b w:val="0"/>
          <w:bCs w:val="0"/>
          <w:color w:val="000000"/>
          <w:kern w:val="0"/>
          <w:sz w:val="27"/>
          <w:szCs w:val="27"/>
          <w:u w:val="none" w:color="auto"/>
        </w:rPr>
        <w:t>2024</w:t>
      </w:r>
      <w:r>
        <w:rPr>
          <w:rFonts w:ascii="仿宋_GB2312" w:hAnsi="仿宋_GB2312" w:eastAsia="仿宋_GB2312" w:cs="仿宋_GB2312"/>
          <w:color w:val="000000"/>
          <w:kern w:val="0"/>
          <w:sz w:val="27"/>
          <w:szCs w:val="27"/>
          <w:u w:val="none" w:color="auto"/>
        </w:rPr>
        <w:t>年度本年收入决算合计</w:t>
      </w:r>
      <w:r>
        <w:rPr>
          <w:rFonts w:hint="eastAsia" w:ascii="仿宋" w:hAnsi="仿宋" w:eastAsia="仿宋" w:cs="仿宋"/>
          <w:b w:val="0"/>
          <w:bCs w:val="0"/>
          <w:color w:val="000000"/>
          <w:kern w:val="0"/>
          <w:sz w:val="27"/>
          <w:szCs w:val="27"/>
          <w:u w:val="none" w:color="auto"/>
        </w:rPr>
        <w:t> 1411.62</w:t>
      </w:r>
      <w:r>
        <w:rPr>
          <w:rFonts w:ascii="仿宋_GB2312" w:hAnsi="仿宋_GB2312" w:eastAsia="仿宋_GB2312" w:cs="仿宋_GB2312"/>
          <w:color w:val="000000"/>
          <w:kern w:val="0"/>
          <w:sz w:val="27"/>
          <w:szCs w:val="27"/>
          <w:u w:val="none" w:color="auto"/>
        </w:rPr>
        <w:t>万元，其中：</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u w:val="none" w:color="auto"/>
        </w:rPr>
      </w:pPr>
      <w:r>
        <w:rPr>
          <w:rFonts w:ascii="仿宋_GB2312" w:hAnsi="仿宋_GB2312" w:eastAsia="仿宋_GB2312" w:cs="仿宋_GB2312"/>
          <w:color w:val="000000"/>
          <w:kern w:val="0"/>
          <w:sz w:val="27"/>
          <w:szCs w:val="27"/>
          <w:u w:val="none" w:color="auto"/>
        </w:rPr>
        <w:t>    本年一般公共预算财政拨款收入</w:t>
      </w:r>
      <w:r>
        <w:rPr>
          <w:rFonts w:hint="eastAsia" w:ascii="仿宋" w:hAnsi="仿宋" w:eastAsia="仿宋" w:cs="仿宋"/>
          <w:b w:val="0"/>
          <w:bCs w:val="0"/>
          <w:color w:val="000000"/>
          <w:kern w:val="0"/>
          <w:sz w:val="27"/>
          <w:szCs w:val="27"/>
          <w:u w:val="none" w:color="auto"/>
        </w:rPr>
        <w:t> 1411.62</w:t>
      </w:r>
      <w:r>
        <w:rPr>
          <w:rFonts w:ascii="仿宋_GB2312" w:hAnsi="仿宋_GB2312" w:eastAsia="仿宋_GB2312" w:cs="仿宋_GB2312"/>
          <w:color w:val="000000"/>
          <w:kern w:val="0"/>
          <w:sz w:val="27"/>
          <w:szCs w:val="27"/>
          <w:u w:val="none" w:color="auto"/>
        </w:rPr>
        <w:t>万元，占</w:t>
      </w:r>
      <w:r>
        <w:rPr>
          <w:rFonts w:ascii="times_new_roman" w:hAnsi="times_new_roman" w:eastAsia="times_new_roman" w:cs="times_new_roman"/>
          <w:color w:val="000000"/>
          <w:kern w:val="0"/>
          <w:sz w:val="27"/>
          <w:szCs w:val="27"/>
          <w:u w:val="none" w:color="auto"/>
        </w:rPr>
        <w:t> </w:t>
      </w:r>
      <w:r>
        <w:rPr>
          <w:rFonts w:hint="eastAsia" w:ascii="仿宋" w:hAnsi="仿宋" w:eastAsia="仿宋" w:cs="仿宋"/>
          <w:b w:val="0"/>
          <w:bCs w:val="0"/>
          <w:color w:val="000000"/>
          <w:kern w:val="0"/>
          <w:sz w:val="27"/>
          <w:szCs w:val="27"/>
          <w:u w:val="none" w:color="auto"/>
        </w:rPr>
        <w:t>100.00</w:t>
      </w:r>
      <w:r>
        <w:rPr>
          <w:rFonts w:ascii="仿宋_GB2312" w:hAnsi="仿宋_GB2312" w:eastAsia="仿宋_GB2312" w:cs="仿宋_GB2312"/>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u w:val="none" w:color="auto"/>
        </w:rPr>
      </w:pPr>
      <w:r>
        <w:rPr>
          <w:rFonts w:ascii="仿宋_GB2312" w:hAnsi="仿宋_GB2312" w:eastAsia="仿宋_GB2312" w:cs="仿宋_GB2312"/>
          <w:color w:val="000000"/>
          <w:kern w:val="0"/>
          <w:sz w:val="27"/>
          <w:szCs w:val="27"/>
          <w:u w:val="none" w:color="auto"/>
        </w:rPr>
        <w:t>    本年政府性基金预算财政拨款收入</w:t>
      </w:r>
      <w:r>
        <w:rPr>
          <w:rFonts w:hint="eastAsia" w:ascii="仿宋" w:hAnsi="仿宋" w:eastAsia="仿宋" w:cs="仿宋"/>
          <w:b w:val="0"/>
          <w:bCs w:val="0"/>
          <w:color w:val="000000"/>
          <w:kern w:val="0"/>
          <w:sz w:val="27"/>
          <w:szCs w:val="27"/>
          <w:u w:val="none" w:color="auto"/>
        </w:rPr>
        <w:t> 0万元，占 0%</w:t>
      </w:r>
      <w:r>
        <w:rPr>
          <w:rFonts w:ascii="仿宋_GB2312" w:hAnsi="仿宋_GB2312" w:eastAsia="仿宋_GB2312" w:cs="仿宋_GB2312"/>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b w:val="0"/>
          <w:bCs w:val="0"/>
          <w:kern w:val="0"/>
          <w:sz w:val="24"/>
          <w:u w:val="none" w:color="auto"/>
        </w:rPr>
      </w:pPr>
      <w:r>
        <w:rPr>
          <w:rFonts w:ascii="仿宋_GB2312" w:hAnsi="仿宋_GB2312" w:eastAsia="仿宋_GB2312" w:cs="仿宋_GB2312"/>
          <w:color w:val="000000"/>
          <w:kern w:val="0"/>
          <w:sz w:val="27"/>
          <w:szCs w:val="27"/>
          <w:u w:val="none" w:color="auto"/>
        </w:rPr>
        <w:t>    本年国有资本经营预算财政拨</w:t>
      </w:r>
      <w:r>
        <w:rPr>
          <w:rFonts w:hint="eastAsia" w:ascii="仿宋" w:hAnsi="仿宋" w:eastAsia="仿宋" w:cs="仿宋"/>
          <w:b w:val="0"/>
          <w:bCs w:val="0"/>
          <w:color w:val="000000"/>
          <w:kern w:val="0"/>
          <w:sz w:val="27"/>
          <w:szCs w:val="27"/>
          <w:u w:val="none" w:color="auto"/>
        </w:rPr>
        <w:t>款收入 0万元，占 0%；</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b w:val="0"/>
          <w:bCs w:val="0"/>
          <w:kern w:val="0"/>
          <w:sz w:val="24"/>
          <w:u w:val="none" w:color="auto"/>
        </w:rPr>
      </w:pPr>
      <w:r>
        <w:rPr>
          <w:rFonts w:ascii="仿宋_GB2312" w:hAnsi="仿宋_GB2312" w:eastAsia="仿宋_GB2312" w:cs="仿宋_GB2312"/>
          <w:color w:val="000000"/>
          <w:kern w:val="0"/>
          <w:sz w:val="27"/>
          <w:szCs w:val="27"/>
          <w:u w:val="none" w:color="auto"/>
        </w:rPr>
        <w:t>    本年上</w:t>
      </w:r>
      <w:r>
        <w:rPr>
          <w:rFonts w:hint="eastAsia" w:ascii="仿宋" w:hAnsi="仿宋" w:eastAsia="仿宋" w:cs="仿宋"/>
          <w:b w:val="0"/>
          <w:bCs w:val="0"/>
          <w:color w:val="000000"/>
          <w:kern w:val="0"/>
          <w:sz w:val="27"/>
          <w:szCs w:val="27"/>
          <w:u w:val="none" w:color="auto"/>
        </w:rPr>
        <w:t>级补助收入 0万元，占 0%；</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b w:val="0"/>
          <w:bCs w:val="0"/>
          <w:kern w:val="0"/>
          <w:sz w:val="24"/>
          <w:u w:val="none" w:color="auto"/>
        </w:rPr>
      </w:pPr>
      <w:r>
        <w:rPr>
          <w:rFonts w:ascii="仿宋_GB2312" w:hAnsi="仿宋_GB2312" w:eastAsia="仿宋_GB2312" w:cs="仿宋_GB2312"/>
          <w:color w:val="000000"/>
          <w:kern w:val="0"/>
          <w:sz w:val="27"/>
          <w:szCs w:val="27"/>
          <w:u w:val="none" w:color="auto"/>
        </w:rPr>
        <w:t>    本年事业收入</w:t>
      </w:r>
      <w:r>
        <w:rPr>
          <w:rFonts w:ascii="times_new_roman" w:hAnsi="times_new_roman" w:eastAsia="times_new_roman" w:cs="times_new_roman"/>
          <w:color w:val="000000"/>
          <w:kern w:val="0"/>
          <w:sz w:val="27"/>
          <w:szCs w:val="27"/>
          <w:u w:val="none" w:color="auto"/>
        </w:rPr>
        <w:t> </w:t>
      </w:r>
      <w:r>
        <w:rPr>
          <w:rFonts w:hint="eastAsia" w:ascii="仿宋" w:hAnsi="仿宋" w:eastAsia="仿宋" w:cs="仿宋"/>
          <w:b w:val="0"/>
          <w:bCs w:val="0"/>
          <w:color w:val="000000"/>
          <w:kern w:val="0"/>
          <w:sz w:val="27"/>
          <w:szCs w:val="27"/>
          <w:u w:val="none" w:color="auto"/>
        </w:rPr>
        <w:t>0万元，占 0%；</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u w:val="none" w:color="auto"/>
        </w:rPr>
      </w:pPr>
      <w:r>
        <w:rPr>
          <w:rFonts w:ascii="仿宋_GB2312" w:hAnsi="仿宋_GB2312" w:eastAsia="仿宋_GB2312" w:cs="仿宋_GB2312"/>
          <w:color w:val="000000"/>
          <w:kern w:val="0"/>
          <w:sz w:val="27"/>
          <w:szCs w:val="27"/>
          <w:u w:val="none" w:color="auto"/>
        </w:rPr>
        <w:t>    本年经营收入</w:t>
      </w:r>
      <w:r>
        <w:rPr>
          <w:rFonts w:hint="eastAsia" w:ascii="仿宋" w:hAnsi="仿宋" w:eastAsia="仿宋" w:cs="仿宋"/>
          <w:b w:val="0"/>
          <w:bCs w:val="0"/>
          <w:color w:val="000000"/>
          <w:kern w:val="0"/>
          <w:sz w:val="27"/>
          <w:szCs w:val="27"/>
          <w:u w:val="none" w:color="auto"/>
        </w:rPr>
        <w:t> 0万元，占 0%</w:t>
      </w:r>
      <w:r>
        <w:rPr>
          <w:rFonts w:ascii="仿宋_GB2312" w:hAnsi="仿宋_GB2312" w:eastAsia="仿宋_GB2312" w:cs="仿宋_GB2312"/>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b w:val="0"/>
          <w:bCs w:val="0"/>
          <w:kern w:val="0"/>
          <w:sz w:val="24"/>
          <w:u w:val="none" w:color="auto"/>
        </w:rPr>
      </w:pPr>
      <w:r>
        <w:rPr>
          <w:rFonts w:ascii="仿宋_GB2312" w:hAnsi="仿宋_GB2312" w:eastAsia="仿宋_GB2312" w:cs="仿宋_GB2312"/>
          <w:color w:val="000000"/>
          <w:kern w:val="0"/>
          <w:sz w:val="27"/>
          <w:szCs w:val="27"/>
          <w:u w:val="none" w:color="auto"/>
        </w:rPr>
        <w:t>    本年附属单位上缴</w:t>
      </w:r>
      <w:r>
        <w:rPr>
          <w:rFonts w:hint="eastAsia" w:ascii="仿宋" w:hAnsi="仿宋" w:eastAsia="仿宋" w:cs="仿宋"/>
          <w:b w:val="0"/>
          <w:bCs w:val="0"/>
          <w:color w:val="000000"/>
          <w:kern w:val="0"/>
          <w:sz w:val="27"/>
          <w:szCs w:val="27"/>
          <w:u w:val="none" w:color="auto"/>
        </w:rPr>
        <w:t>收入 0万元，占 0%；</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本年其他收入 0万元，占 0%。</w:t>
      </w:r>
    </w:p>
    <w:p>
      <w:pPr>
        <w:widowControl/>
        <w:spacing w:before="240" w:after="240"/>
        <w:rPr>
          <w:rFonts w:ascii="Times New Roman" w:hAnsi="Times New Roman" w:eastAsia="Times New Roman" w:cs="Times New Roman"/>
          <w:kern w:val="0"/>
          <w:sz w:val="24"/>
          <w:u w:val="none" w:color="auto"/>
        </w:rPr>
      </w:pPr>
    </w:p>
    <w:p>
      <w:pPr>
        <w:widowControl/>
        <w:spacing w:before="240" w:after="240"/>
        <w:jc w:val="center"/>
        <w:rPr>
          <w:rFonts w:ascii="Times New Roman" w:hAnsi="Times New Roman" w:eastAsia="Times New Roman" w:cs="Times New Roman"/>
          <w:kern w:val="0"/>
          <w:sz w:val="24"/>
          <w:u w:val="none" w:color="auto"/>
        </w:rPr>
      </w:pPr>
      <w:r>
        <w:rPr>
          <w:rFonts w:ascii="Times New Roman" w:hAnsi="Times New Roman" w:eastAsia="Times New Roman" w:cs="Times New Roman"/>
          <w:strike w:val="0"/>
          <w:kern w:val="0"/>
          <w:sz w:val="24"/>
          <w:u w:val="none" w:color="auto"/>
        </w:rPr>
        <w:drawing>
          <wp:inline distT="0" distB="0" distL="114300" distR="114300">
            <wp:extent cx="5283200" cy="3302000"/>
            <wp:effectExtent l="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6"/>
                    <a:stretch>
                      <a:fillRect/>
                    </a:stretch>
                  </pic:blipFill>
                  <pic:spPr>
                    <a:xfrm>
                      <a:off x="0" y="0"/>
                      <a:ext cx="5283200" cy="3302000"/>
                    </a:xfrm>
                    <a:prstGeom prst="rect">
                      <a:avLst/>
                    </a:prstGeom>
                    <a:noFill/>
                    <a:ln>
                      <a:noFill/>
                    </a:ln>
                  </pic:spPr>
                </pic:pic>
              </a:graphicData>
            </a:graphic>
          </wp:inline>
        </w:drawing>
      </w:r>
      <w:r>
        <w:rPr>
          <w:rFonts w:ascii="Times New Roman" w:hAnsi="Times New Roman" w:eastAsia="Times New Roman" w:cs="Times New Roman"/>
          <w:kern w:val="0"/>
          <w:sz w:val="24"/>
          <w:u w:val="none" w:color="auto"/>
        </w:rPr>
        <w:t xml:space="preserve">  </w:t>
      </w:r>
    </w:p>
    <w:p>
      <w:pPr>
        <w:widowControl/>
        <w:spacing w:before="240" w:after="240"/>
        <w:jc w:val="center"/>
        <w:rPr>
          <w:rFonts w:ascii="Times New Roman" w:hAnsi="Times New Roman" w:eastAsia="Times New Roman" w:cs="Times New Roman"/>
          <w:kern w:val="0"/>
          <w:sz w:val="24"/>
          <w:u w:val="none" w:color="auto"/>
        </w:rPr>
      </w:pPr>
      <w:r>
        <w:rPr>
          <w:rFonts w:ascii="仿宋_GB2312" w:hAnsi="仿宋_GB2312" w:eastAsia="仿宋_GB2312" w:cs="仿宋_GB2312"/>
          <w:kern w:val="0"/>
          <w:sz w:val="27"/>
          <w:szCs w:val="27"/>
          <w:u w:val="none" w:color="auto"/>
        </w:rPr>
        <w:t>图</w:t>
      </w:r>
      <w:r>
        <w:rPr>
          <w:rFonts w:ascii="times_new_roman" w:hAnsi="times_new_roman" w:eastAsia="times_new_roman" w:cs="times_new_roman"/>
          <w:kern w:val="0"/>
          <w:sz w:val="27"/>
          <w:szCs w:val="27"/>
          <w:u w:val="none" w:color="auto"/>
        </w:rPr>
        <w:t>1</w:t>
      </w:r>
      <w:r>
        <w:rPr>
          <w:rFonts w:ascii="仿宋_GB2312" w:hAnsi="仿宋_GB2312" w:eastAsia="仿宋_GB2312" w:cs="仿宋_GB2312"/>
          <w:kern w:val="0"/>
          <w:sz w:val="27"/>
          <w:szCs w:val="27"/>
          <w:u w:val="none" w:color="auto"/>
        </w:rPr>
        <w:t>.收入决算图</w:t>
      </w:r>
    </w:p>
    <w:p>
      <w:pPr>
        <w:widowControl/>
        <w:spacing w:before="240" w:after="240"/>
        <w:jc w:val="left"/>
        <w:rPr>
          <w:rFonts w:ascii="Times New Roman" w:hAnsi="Times New Roman" w:eastAsia="Times New Roman" w:cs="Times New Roman"/>
          <w:kern w:val="0"/>
          <w:sz w:val="24"/>
          <w:u w:val="none" w:color="auto"/>
        </w:rPr>
      </w:pPr>
      <w:r>
        <w:rPr>
          <w:rFonts w:ascii="Calibri" w:hAnsi="Calibri" w:eastAsia="Calibri" w:cs="Calibri"/>
          <w:b/>
          <w:bCs/>
          <w:kern w:val="0"/>
          <w:sz w:val="27"/>
          <w:szCs w:val="27"/>
          <w:u w:val="none" w:color="auto"/>
        </w:rPr>
        <w:t> </w:t>
      </w:r>
      <w:r>
        <w:rPr>
          <w:rFonts w:ascii="黑体" w:hAnsi="黑体" w:eastAsia="黑体" w:cs="黑体"/>
          <w:b/>
          <w:bCs/>
          <w:kern w:val="0"/>
          <w:sz w:val="27"/>
          <w:szCs w:val="27"/>
          <w:u w:val="none" w:color="auto"/>
        </w:rPr>
        <w:t xml:space="preserve"> </w:t>
      </w:r>
      <w:r>
        <w:rPr>
          <w:rFonts w:ascii="Calibri" w:hAnsi="Calibri" w:eastAsia="Calibri" w:cs="Calibri"/>
          <w:b/>
          <w:bCs/>
          <w:kern w:val="0"/>
          <w:sz w:val="27"/>
          <w:szCs w:val="27"/>
          <w:u w:val="none" w:color="auto"/>
        </w:rPr>
        <w:t> </w:t>
      </w:r>
      <w:r>
        <w:rPr>
          <w:rFonts w:ascii="黑体" w:hAnsi="黑体" w:eastAsia="黑体" w:cs="黑体"/>
          <w:b/>
          <w:bCs/>
          <w:kern w:val="0"/>
          <w:sz w:val="27"/>
          <w:szCs w:val="27"/>
          <w:u w:val="none" w:color="auto"/>
        </w:rPr>
        <w:t xml:space="preserve"> 三、支出决算情况说明</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u w:val="none" w:color="auto"/>
        </w:rPr>
      </w:pPr>
      <w:r>
        <w:rPr>
          <w:rFonts w:ascii="仿宋_GB2312" w:hAnsi="仿宋_GB2312" w:eastAsia="仿宋_GB2312" w:cs="仿宋_GB2312"/>
          <w:kern w:val="0"/>
          <w:sz w:val="27"/>
          <w:szCs w:val="27"/>
          <w:u w:val="none" w:color="auto"/>
        </w:rPr>
        <w:t xml:space="preserve">    </w:t>
      </w:r>
      <w:r>
        <w:rPr>
          <w:rFonts w:hint="eastAsia" w:ascii="仿宋" w:hAnsi="仿宋" w:eastAsia="仿宋" w:cs="仿宋"/>
          <w:color w:val="000000"/>
          <w:kern w:val="0"/>
          <w:sz w:val="27"/>
          <w:szCs w:val="27"/>
          <w:u w:val="none" w:color="auto"/>
        </w:rPr>
        <w:t>内蒙古自治区巴彦淖尔市住房和城乡建设局(本级) 2024年度本年支出决算合计 1411.62万元，其中：</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本年基本支出 821.22万元，占 58.18%；</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本年项目支出 590.40万元，占 41.82%；</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本年上缴上级支出 0万元，占 0%；</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本年经营支出 0万元，占 0%；</w:t>
      </w:r>
    </w:p>
    <w:p>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本年对附属单位补助支出 0万元，占 0%。</w:t>
      </w:r>
    </w:p>
    <w:p>
      <w:pPr>
        <w:widowControl/>
        <w:spacing w:before="240" w:after="240"/>
        <w:jc w:val="center"/>
        <w:rPr>
          <w:rFonts w:ascii="Times New Roman" w:hAnsi="Times New Roman" w:eastAsia="Times New Roman" w:cs="Times New Roman"/>
          <w:kern w:val="0"/>
          <w:sz w:val="24"/>
          <w:u w:val="none" w:color="auto"/>
        </w:rPr>
      </w:pPr>
      <w:r>
        <w:rPr>
          <w:rFonts w:ascii="Times New Roman" w:hAnsi="Times New Roman" w:eastAsia="Times New Roman" w:cs="Times New Roman"/>
          <w:strike w:val="0"/>
          <w:kern w:val="0"/>
          <w:sz w:val="24"/>
          <w:u w:val="none" w:color="auto"/>
        </w:rPr>
        <w:drawing>
          <wp:inline distT="0" distB="0" distL="114300" distR="114300">
            <wp:extent cx="5003800" cy="3127375"/>
            <wp:effectExtent l="0" t="0" r="5080" b="317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5003800" cy="3127375"/>
                    </a:xfrm>
                    <a:prstGeom prst="rect">
                      <a:avLst/>
                    </a:prstGeom>
                    <a:noFill/>
                    <a:ln>
                      <a:noFill/>
                    </a:ln>
                  </pic:spPr>
                </pic:pic>
              </a:graphicData>
            </a:graphic>
          </wp:inline>
        </w:drawing>
      </w:r>
      <w:r>
        <w:rPr>
          <w:rFonts w:ascii="Times New Roman" w:hAnsi="Times New Roman" w:eastAsia="Times New Roman" w:cs="Times New Roman"/>
          <w:kern w:val="0"/>
          <w:sz w:val="24"/>
          <w:u w:val="none" w:color="auto"/>
        </w:rPr>
        <w:t xml:space="preserve">  </w:t>
      </w:r>
    </w:p>
    <w:p>
      <w:pPr>
        <w:widowControl/>
        <w:spacing w:before="240" w:after="240"/>
        <w:jc w:val="center"/>
        <w:rPr>
          <w:rFonts w:ascii="Times New Roman" w:hAnsi="Times New Roman" w:eastAsia="Times New Roman" w:cs="Times New Roman"/>
          <w:kern w:val="0"/>
          <w:sz w:val="24"/>
          <w:u w:val="none" w:color="auto"/>
        </w:rPr>
      </w:pPr>
      <w:r>
        <w:rPr>
          <w:rFonts w:ascii="仿宋_GB2312" w:hAnsi="仿宋_GB2312" w:eastAsia="仿宋_GB2312" w:cs="仿宋_GB2312"/>
          <w:kern w:val="0"/>
          <w:sz w:val="27"/>
          <w:szCs w:val="27"/>
          <w:u w:val="none" w:color="auto"/>
        </w:rPr>
        <w:t>图2.支出决算图</w:t>
      </w:r>
    </w:p>
    <w:p>
      <w:pPr>
        <w:widowControl/>
        <w:spacing w:before="240" w:after="240"/>
        <w:jc w:val="left"/>
        <w:rPr>
          <w:rFonts w:ascii="Times New Roman" w:hAnsi="Times New Roman" w:eastAsia="Times New Roman" w:cs="Times New Roman"/>
          <w:kern w:val="0"/>
          <w:sz w:val="24"/>
          <w:u w:val="none" w:color="auto"/>
        </w:rPr>
      </w:pPr>
    </w:p>
    <w:p>
      <w:pPr>
        <w:widowControl/>
        <w:spacing w:before="240" w:after="240"/>
        <w:jc w:val="left"/>
        <w:rPr>
          <w:rFonts w:ascii="Times New Roman" w:hAnsi="Times New Roman" w:eastAsia="Times New Roman" w:cs="Times New Roman"/>
          <w:kern w:val="0"/>
          <w:sz w:val="24"/>
          <w:u w:val="none" w:color="auto"/>
        </w:rPr>
      </w:pPr>
      <w:r>
        <w:rPr>
          <w:rFonts w:ascii="Calibri" w:hAnsi="Calibri" w:eastAsia="Calibri" w:cs="Calibri"/>
          <w:b/>
          <w:bCs/>
          <w:kern w:val="0"/>
          <w:sz w:val="27"/>
          <w:szCs w:val="27"/>
          <w:u w:val="none" w:color="auto"/>
        </w:rPr>
        <w:t> </w:t>
      </w:r>
      <w:r>
        <w:rPr>
          <w:rFonts w:ascii="黑体" w:hAnsi="黑体" w:eastAsia="黑体" w:cs="黑体"/>
          <w:b/>
          <w:bCs/>
          <w:kern w:val="0"/>
          <w:sz w:val="27"/>
          <w:szCs w:val="27"/>
          <w:u w:val="none" w:color="auto"/>
        </w:rPr>
        <w:t xml:space="preserve"> </w:t>
      </w:r>
      <w:r>
        <w:rPr>
          <w:rFonts w:ascii="Calibri" w:hAnsi="Calibri" w:eastAsia="Calibri" w:cs="Calibri"/>
          <w:b/>
          <w:bCs/>
          <w:kern w:val="0"/>
          <w:sz w:val="27"/>
          <w:szCs w:val="27"/>
          <w:u w:val="none" w:color="auto"/>
        </w:rPr>
        <w:t> </w:t>
      </w:r>
      <w:r>
        <w:rPr>
          <w:rFonts w:ascii="黑体" w:hAnsi="黑体" w:eastAsia="黑体" w:cs="黑体"/>
          <w:b/>
          <w:bCs/>
          <w:kern w:val="0"/>
          <w:sz w:val="27"/>
          <w:szCs w:val="27"/>
          <w:u w:val="none" w:color="auto"/>
        </w:rPr>
        <w:t xml:space="preserve"> 四、财政拨款收入支出决算总体情况说明</w:t>
      </w:r>
    </w:p>
    <w:p>
      <w:pPr>
        <w:widowControl/>
        <w:spacing w:before="240" w:after="240"/>
        <w:rPr>
          <w:rFonts w:hint="eastAsia" w:ascii="仿宋" w:hAnsi="仿宋" w:eastAsia="仿宋" w:cs="仿宋"/>
          <w:kern w:val="0"/>
          <w:sz w:val="24"/>
          <w:u w:val="none" w:color="auto"/>
        </w:rPr>
      </w:pPr>
      <w:r>
        <w:rPr>
          <w:rFonts w:ascii="仿宋_GB2312" w:hAnsi="仿宋_GB2312" w:eastAsia="仿宋_GB2312" w:cs="仿宋_GB2312"/>
          <w:kern w:val="0"/>
          <w:sz w:val="27"/>
          <w:szCs w:val="27"/>
          <w:u w:val="none" w:color="auto"/>
        </w:rPr>
        <w:t>   </w:t>
      </w:r>
      <w:r>
        <w:rPr>
          <w:rFonts w:ascii="仿宋_GB2312" w:hAnsi="仿宋_GB2312" w:eastAsia="仿宋_GB2312" w:cs="仿宋_GB2312"/>
          <w:color w:val="000000"/>
          <w:kern w:val="0"/>
          <w:sz w:val="27"/>
          <w:szCs w:val="27"/>
          <w:u w:val="none" w:color="auto"/>
        </w:rPr>
        <w:t xml:space="preserve"> </w:t>
      </w:r>
      <w:r>
        <w:rPr>
          <w:rFonts w:hint="eastAsia" w:ascii="仿宋" w:hAnsi="仿宋" w:eastAsia="仿宋" w:cs="仿宋"/>
          <w:color w:val="000000"/>
          <w:kern w:val="0"/>
          <w:sz w:val="27"/>
          <w:szCs w:val="27"/>
          <w:u w:val="none" w:color="auto"/>
        </w:rPr>
        <w:t>内蒙古自治区巴彦淖尔市住房和城乡建设局(本级) 2024年度财政拨款收入、支出决算总计均为 1958.76万元，与年初预算相比，收、支总计各增加1088.74万元，增长125.14%，变动原因：</w:t>
      </w:r>
      <w:r>
        <w:rPr>
          <w:rFonts w:hint="eastAsia" w:ascii="仿宋" w:hAnsi="仿宋" w:eastAsia="仿宋" w:cs="仿宋"/>
          <w:color w:val="000000"/>
          <w:kern w:val="0"/>
          <w:sz w:val="27"/>
          <w:szCs w:val="27"/>
          <w:u w:val="none" w:color="auto"/>
          <w:lang w:val="en-US" w:eastAsia="zh-CN"/>
        </w:rPr>
        <w:t>追加部分项目资金，故较预算数大幅增加</w:t>
      </w:r>
      <w:r>
        <w:rPr>
          <w:rFonts w:hint="eastAsia" w:ascii="仿宋" w:hAnsi="仿宋" w:eastAsia="仿宋" w:cs="仿宋"/>
          <w:color w:val="000000"/>
          <w:kern w:val="0"/>
          <w:sz w:val="27"/>
          <w:szCs w:val="27"/>
          <w:u w:val="none" w:color="auto"/>
        </w:rPr>
        <w:t>；与上年决算相比，收、支总计各减少1225.98万元，下降38.50%，变动原因：</w:t>
      </w:r>
      <w:r>
        <w:rPr>
          <w:rFonts w:hint="eastAsia" w:ascii="仿宋" w:hAnsi="仿宋" w:eastAsia="仿宋" w:cs="仿宋"/>
          <w:color w:val="000000"/>
          <w:kern w:val="0"/>
          <w:sz w:val="27"/>
          <w:szCs w:val="27"/>
          <w:u w:val="none" w:color="auto"/>
          <w:lang w:val="en-US" w:eastAsia="zh-CN"/>
        </w:rPr>
        <w:t>整体项目数较上年减少</w:t>
      </w:r>
      <w:r>
        <w:rPr>
          <w:rFonts w:hint="eastAsia" w:ascii="仿宋" w:hAnsi="仿宋" w:eastAsia="仿宋" w:cs="仿宋"/>
          <w:color w:val="000000"/>
          <w:kern w:val="0"/>
          <w:sz w:val="27"/>
          <w:szCs w:val="27"/>
          <w:u w:val="none" w:color="auto"/>
        </w:rPr>
        <w:t>。</w:t>
      </w:r>
    </w:p>
    <w:p>
      <w:pPr>
        <w:widowControl/>
        <w:spacing w:before="240" w:after="240"/>
        <w:jc w:val="left"/>
        <w:rPr>
          <w:rFonts w:ascii="Times New Roman" w:hAnsi="Times New Roman" w:eastAsia="Times New Roman" w:cs="Times New Roman"/>
          <w:kern w:val="0"/>
          <w:sz w:val="24"/>
          <w:u w:val="none" w:color="auto"/>
        </w:rPr>
      </w:pPr>
      <w:r>
        <w:rPr>
          <w:rFonts w:ascii="Calibri" w:hAnsi="Calibri" w:eastAsia="Calibri" w:cs="Calibri"/>
          <w:b/>
          <w:bCs/>
          <w:kern w:val="0"/>
          <w:sz w:val="27"/>
          <w:szCs w:val="27"/>
          <w:u w:val="none" w:color="auto"/>
        </w:rPr>
        <w:t> </w:t>
      </w:r>
      <w:r>
        <w:rPr>
          <w:rFonts w:ascii="黑体" w:hAnsi="黑体" w:eastAsia="黑体" w:cs="黑体"/>
          <w:b/>
          <w:bCs/>
          <w:kern w:val="0"/>
          <w:sz w:val="27"/>
          <w:szCs w:val="27"/>
          <w:u w:val="none" w:color="auto"/>
        </w:rPr>
        <w:t xml:space="preserve"> </w:t>
      </w:r>
      <w:r>
        <w:rPr>
          <w:rFonts w:ascii="Calibri" w:hAnsi="Calibri" w:eastAsia="Calibri" w:cs="Calibri"/>
          <w:b/>
          <w:bCs/>
          <w:kern w:val="0"/>
          <w:sz w:val="27"/>
          <w:szCs w:val="27"/>
          <w:u w:val="none" w:color="auto"/>
        </w:rPr>
        <w:t> </w:t>
      </w:r>
      <w:r>
        <w:rPr>
          <w:rFonts w:ascii="黑体" w:hAnsi="黑体" w:eastAsia="黑体" w:cs="黑体"/>
          <w:b/>
          <w:bCs/>
          <w:kern w:val="0"/>
          <w:sz w:val="27"/>
          <w:szCs w:val="27"/>
          <w:u w:val="none" w:color="auto"/>
        </w:rPr>
        <w:t xml:space="preserve"> 五、一般公共预算财政拨款支出决算情况说明</w:t>
      </w:r>
    </w:p>
    <w:p>
      <w:pPr>
        <w:widowControl/>
        <w:spacing w:before="240" w:after="240"/>
        <w:rPr>
          <w:rFonts w:hint="eastAsia" w:ascii="仿宋" w:hAnsi="仿宋" w:eastAsia="仿宋" w:cs="仿宋"/>
          <w:kern w:val="0"/>
          <w:sz w:val="24"/>
          <w:u w:val="none" w:color="auto"/>
        </w:rPr>
      </w:pPr>
      <w:r>
        <w:rPr>
          <w:rFonts w:ascii="仿宋_GB2312" w:hAnsi="仿宋_GB2312" w:eastAsia="仿宋_GB2312" w:cs="仿宋_GB2312"/>
          <w:kern w:val="0"/>
          <w:sz w:val="27"/>
          <w:szCs w:val="27"/>
          <w:u w:val="none" w:color="auto"/>
        </w:rPr>
        <w:t xml:space="preserve">    </w:t>
      </w:r>
      <w:r>
        <w:rPr>
          <w:rFonts w:hint="eastAsia" w:ascii="仿宋" w:hAnsi="仿宋" w:eastAsia="仿宋" w:cs="仿宋"/>
          <w:color w:val="000000"/>
          <w:kern w:val="0"/>
          <w:sz w:val="27"/>
          <w:szCs w:val="27"/>
          <w:u w:val="none" w:color="auto"/>
        </w:rPr>
        <w:t>内蒙古自治区巴彦淖尔市住房和城乡建设局(本级) 2024年度一般公共预算财政拨款支出决算 1411.62万元。与年初预算 870.02万元相比，完成年初预算的 162.25%。其中：</w:t>
      </w:r>
    </w:p>
    <w:p>
      <w:pPr>
        <w:widowControl/>
        <w:spacing w:before="240" w:after="240"/>
        <w:jc w:val="left"/>
        <w:rPr>
          <w:rFonts w:ascii="Times New Roman" w:hAnsi="Times New Roman" w:eastAsia="Times New Roman" w:cs="Times New Roman"/>
          <w:kern w:val="0"/>
          <w:sz w:val="24"/>
          <w:u w:val="none" w:color="auto"/>
        </w:rPr>
      </w:pPr>
      <w:r>
        <w:rPr>
          <w:rFonts w:ascii="kai_ti_gb2312" w:hAnsi="kai_ti_gb2312" w:eastAsia="kai_ti_gb2312" w:cs="kai_ti_gb2312"/>
          <w:b/>
          <w:bCs/>
          <w:color w:val="000000"/>
          <w:kern w:val="0"/>
          <w:sz w:val="27"/>
          <w:szCs w:val="27"/>
          <w:u w:val="none" w:color="auto"/>
        </w:rPr>
        <w:t>    （一）一般公共服务（类）</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ascii="仿宋_GB2312" w:hAnsi="仿宋_GB2312" w:eastAsia="仿宋_GB2312" w:cs="仿宋_GB2312"/>
          <w:color w:val="000000"/>
          <w:kern w:val="0"/>
          <w:sz w:val="27"/>
          <w:szCs w:val="27"/>
          <w:u w:val="none" w:color="auto"/>
        </w:rPr>
        <w:t>   </w:t>
      </w:r>
      <w:r>
        <w:rPr>
          <w:rFonts w:hint="eastAsia" w:ascii="仿宋" w:hAnsi="仿宋" w:eastAsia="仿宋" w:cs="仿宋"/>
          <w:color w:val="000000"/>
          <w:kern w:val="0"/>
          <w:sz w:val="27"/>
          <w:szCs w:val="27"/>
          <w:u w:val="none" w:color="auto"/>
        </w:rPr>
        <w:t xml:space="preserve"> 一般公共服务（类）决算数为 39.00万元，与年初预算相比增加 39.00万元。其中：</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1．其他发展与改革事务支出（项）。年初预算</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30</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100</w:t>
      </w:r>
      <w:r>
        <w:rPr>
          <w:rFonts w:hint="eastAsia" w:ascii="仿宋" w:hAnsi="仿宋" w:eastAsia="仿宋" w:cs="仿宋"/>
          <w:color w:val="000000"/>
          <w:kern w:val="0"/>
          <w:sz w:val="27"/>
          <w:szCs w:val="27"/>
          <w:u w:val="none" w:color="auto"/>
        </w:rPr>
        <w:t>%。决算数与年初预算数的差异原因：</w:t>
      </w:r>
      <w:r>
        <w:rPr>
          <w:rFonts w:hint="eastAsia" w:ascii="仿宋" w:hAnsi="仿宋" w:eastAsia="仿宋" w:cs="仿宋"/>
          <w:color w:val="000000"/>
          <w:kern w:val="0"/>
          <w:sz w:val="27"/>
          <w:szCs w:val="27"/>
          <w:u w:val="none" w:color="auto"/>
          <w:lang w:val="en-US" w:eastAsia="zh-CN"/>
        </w:rPr>
        <w:t>由工作原因开展</w:t>
      </w:r>
      <w:r>
        <w:rPr>
          <w:rFonts w:hint="eastAsia" w:ascii="仿宋" w:hAnsi="仿宋" w:eastAsia="仿宋" w:cs="仿宋"/>
          <w:color w:val="000000"/>
          <w:kern w:val="0"/>
          <w:sz w:val="27"/>
          <w:szCs w:val="27"/>
          <w:u w:val="none" w:color="auto"/>
        </w:rPr>
        <w:t>其他发展与改革事务</w:t>
      </w:r>
      <w:r>
        <w:rPr>
          <w:rFonts w:hint="eastAsia" w:ascii="仿宋" w:hAnsi="仿宋" w:eastAsia="仿宋" w:cs="仿宋"/>
          <w:color w:val="000000"/>
          <w:kern w:val="0"/>
          <w:sz w:val="27"/>
          <w:szCs w:val="27"/>
          <w:u w:val="none" w:color="auto"/>
          <w:lang w:val="en-US" w:eastAsia="zh-CN"/>
        </w:rPr>
        <w:t>相关专项项目，未做预算，由此产生差异</w:t>
      </w:r>
      <w:r>
        <w:rPr>
          <w:rFonts w:hint="eastAsia" w:ascii="仿宋" w:hAnsi="仿宋" w:eastAsia="仿宋" w:cs="仿宋"/>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color w:val="000000"/>
          <w:kern w:val="0"/>
          <w:sz w:val="27"/>
          <w:szCs w:val="27"/>
          <w:u w:val="none" w:color="auto"/>
          <w:lang w:eastAsia="zh-CN"/>
        </w:rPr>
      </w:pPr>
      <w:r>
        <w:rPr>
          <w:rFonts w:hint="eastAsia" w:ascii="仿宋" w:hAnsi="仿宋" w:eastAsia="仿宋" w:cs="仿宋"/>
          <w:color w:val="000000"/>
          <w:kern w:val="0"/>
          <w:sz w:val="27"/>
          <w:szCs w:val="27"/>
          <w:u w:val="none" w:color="auto"/>
        </w:rPr>
        <w:t>    2．民族工作专项</w:t>
      </w:r>
      <w:r>
        <w:rPr>
          <w:rFonts w:hint="eastAsia" w:ascii="仿宋" w:hAnsi="仿宋" w:eastAsia="仿宋" w:cs="仿宋"/>
          <w:color w:val="000000"/>
          <w:kern w:val="0"/>
          <w:sz w:val="27"/>
          <w:szCs w:val="27"/>
          <w:u w:val="none" w:color="auto"/>
          <w:lang w:eastAsia="zh-CN"/>
        </w:rPr>
        <w:t>（</w:t>
      </w:r>
      <w:r>
        <w:rPr>
          <w:rFonts w:hint="eastAsia" w:ascii="仿宋" w:hAnsi="仿宋" w:eastAsia="仿宋" w:cs="仿宋"/>
          <w:color w:val="000000"/>
          <w:kern w:val="0"/>
          <w:sz w:val="27"/>
          <w:szCs w:val="27"/>
          <w:u w:val="none" w:color="auto"/>
        </w:rPr>
        <w:t>项</w:t>
      </w:r>
      <w:r>
        <w:rPr>
          <w:rFonts w:hint="eastAsia" w:ascii="仿宋" w:hAnsi="仿宋" w:eastAsia="仿宋" w:cs="仿宋"/>
          <w:color w:val="000000"/>
          <w:kern w:val="0"/>
          <w:sz w:val="27"/>
          <w:szCs w:val="27"/>
          <w:u w:val="none" w:color="auto"/>
          <w:lang w:eastAsia="zh-CN"/>
        </w:rPr>
        <w:t>）。</w:t>
      </w:r>
      <w:r>
        <w:rPr>
          <w:rFonts w:hint="eastAsia" w:ascii="仿宋" w:hAnsi="仿宋" w:eastAsia="仿宋" w:cs="仿宋"/>
          <w:color w:val="000000"/>
          <w:kern w:val="0"/>
          <w:sz w:val="27"/>
          <w:szCs w:val="27"/>
          <w:u w:val="none" w:color="auto"/>
        </w:rPr>
        <w:t>年初预算</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9</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100</w:t>
      </w:r>
      <w:r>
        <w:rPr>
          <w:rFonts w:hint="eastAsia" w:ascii="仿宋" w:hAnsi="仿宋" w:eastAsia="仿宋" w:cs="仿宋"/>
          <w:color w:val="000000"/>
          <w:kern w:val="0"/>
          <w:sz w:val="27"/>
          <w:szCs w:val="27"/>
          <w:u w:val="none" w:color="auto"/>
        </w:rPr>
        <w:t>%。决算数与年初预算数的差异原因：</w:t>
      </w:r>
      <w:r>
        <w:rPr>
          <w:rFonts w:hint="eastAsia" w:ascii="仿宋" w:hAnsi="仿宋" w:eastAsia="仿宋" w:cs="仿宋"/>
          <w:color w:val="000000"/>
          <w:kern w:val="0"/>
          <w:sz w:val="27"/>
          <w:szCs w:val="27"/>
          <w:u w:val="none" w:color="auto"/>
          <w:lang w:val="en-US" w:eastAsia="zh-CN"/>
        </w:rPr>
        <w:t>由工作原因开展民族工作相关专项项目，未做预算，由此产生差异</w:t>
      </w:r>
      <w:r>
        <w:rPr>
          <w:rFonts w:hint="eastAsia" w:ascii="仿宋" w:hAnsi="仿宋" w:eastAsia="仿宋" w:cs="仿宋"/>
          <w:color w:val="000000"/>
          <w:kern w:val="0"/>
          <w:sz w:val="27"/>
          <w:szCs w:val="27"/>
          <w:u w:val="none" w:color="auto"/>
        </w:rPr>
        <w:t>。</w:t>
      </w:r>
    </w:p>
    <w:p>
      <w:pPr>
        <w:widowControl/>
        <w:spacing w:before="240" w:after="240"/>
        <w:jc w:val="left"/>
        <w:rPr>
          <w:rFonts w:ascii="Times New Roman" w:hAnsi="Times New Roman" w:eastAsia="Times New Roman" w:cs="Times New Roman"/>
          <w:kern w:val="0"/>
          <w:sz w:val="24"/>
          <w:u w:val="none" w:color="auto"/>
        </w:rPr>
      </w:pPr>
      <w:r>
        <w:rPr>
          <w:rFonts w:ascii="kai_ti_gb2312" w:hAnsi="kai_ti_gb2312" w:eastAsia="kai_ti_gb2312" w:cs="kai_ti_gb2312"/>
          <w:b/>
          <w:bCs/>
          <w:color w:val="000000"/>
          <w:kern w:val="0"/>
          <w:sz w:val="27"/>
          <w:szCs w:val="27"/>
          <w:u w:val="none" w:color="auto"/>
        </w:rPr>
        <w:t>    （二）公共安全（类）</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rPr>
      </w:pPr>
      <w:r>
        <w:rPr>
          <w:rFonts w:ascii="仿宋_GB2312" w:hAnsi="仿宋_GB2312" w:eastAsia="仿宋_GB2312" w:cs="仿宋_GB2312"/>
          <w:color w:val="000000"/>
          <w:kern w:val="0"/>
          <w:sz w:val="27"/>
          <w:szCs w:val="27"/>
          <w:u w:val="none" w:color="auto"/>
        </w:rPr>
        <w:t>   </w:t>
      </w:r>
      <w:r>
        <w:rPr>
          <w:rFonts w:hint="eastAsia" w:ascii="仿宋" w:hAnsi="仿宋" w:eastAsia="仿宋" w:cs="仿宋"/>
          <w:color w:val="000000"/>
          <w:kern w:val="0"/>
          <w:sz w:val="27"/>
          <w:szCs w:val="27"/>
          <w:u w:val="none" w:color="auto"/>
        </w:rPr>
        <w:t xml:space="preserve"> 公共安全（类）决算数为 0万元，与年初预算相比增加（减少） 0万元。</w:t>
      </w:r>
    </w:p>
    <w:p>
      <w:pPr>
        <w:widowControl/>
        <w:spacing w:before="240" w:after="240"/>
        <w:jc w:val="left"/>
        <w:rPr>
          <w:rFonts w:ascii="Times New Roman" w:hAnsi="Times New Roman" w:eastAsia="Times New Roman" w:cs="Times New Roman"/>
          <w:kern w:val="0"/>
          <w:sz w:val="24"/>
          <w:u w:val="none" w:color="auto"/>
        </w:rPr>
      </w:pPr>
      <w:r>
        <w:rPr>
          <w:rFonts w:ascii="kai_ti_gb2312" w:hAnsi="kai_ti_gb2312" w:eastAsia="kai_ti_gb2312" w:cs="kai_ti_gb2312"/>
          <w:b/>
          <w:bCs/>
          <w:color w:val="000000"/>
          <w:kern w:val="0"/>
          <w:sz w:val="27"/>
          <w:szCs w:val="27"/>
          <w:u w:val="none" w:color="auto"/>
        </w:rPr>
        <w:t>    （三）社会保障和就业支出（类）</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 w:hAnsi="仿宋" w:eastAsia="仿宋" w:cs="仿宋"/>
          <w:kern w:val="0"/>
          <w:sz w:val="24"/>
          <w:u w:val="none" w:color="auto"/>
        </w:rPr>
      </w:pPr>
      <w:r>
        <w:rPr>
          <w:rFonts w:ascii="仿宋_GB2312" w:hAnsi="仿宋_GB2312" w:eastAsia="仿宋_GB2312" w:cs="仿宋_GB2312"/>
          <w:color w:val="000000"/>
          <w:kern w:val="0"/>
          <w:sz w:val="27"/>
          <w:szCs w:val="27"/>
          <w:u w:val="none" w:color="auto"/>
        </w:rPr>
        <w:t xml:space="preserve">    </w:t>
      </w:r>
      <w:r>
        <w:rPr>
          <w:rFonts w:hint="eastAsia" w:ascii="仿宋" w:hAnsi="仿宋" w:eastAsia="仿宋" w:cs="仿宋"/>
          <w:color w:val="000000"/>
          <w:kern w:val="0"/>
          <w:sz w:val="27"/>
          <w:szCs w:val="27"/>
          <w:u w:val="none" w:color="auto"/>
        </w:rPr>
        <w:t>社会保障和就业支出（类）决算数为 235.98万元，与年初预算相比增加71.22万元。其中：</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1．行政事业单位养老支出（款）行政单位离退休（项）。年初预算</w:t>
      </w:r>
      <w:r>
        <w:rPr>
          <w:rFonts w:hint="eastAsia" w:ascii="仿宋" w:hAnsi="仿宋" w:eastAsia="仿宋" w:cs="仿宋"/>
          <w:color w:val="000000"/>
          <w:kern w:val="0"/>
          <w:sz w:val="27"/>
          <w:szCs w:val="27"/>
          <w:u w:val="none" w:color="auto"/>
          <w:lang w:val="en-US" w:eastAsia="zh-CN"/>
        </w:rPr>
        <w:t>116.29</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122.18</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105.06</w:t>
      </w:r>
      <w:r>
        <w:rPr>
          <w:rFonts w:hint="eastAsia" w:ascii="仿宋" w:hAnsi="仿宋" w:eastAsia="仿宋" w:cs="仿宋"/>
          <w:color w:val="000000"/>
          <w:kern w:val="0"/>
          <w:sz w:val="27"/>
          <w:szCs w:val="27"/>
          <w:u w:val="none" w:color="auto"/>
        </w:rPr>
        <w:t>%。决算数与年初预算数的差异原因：</w:t>
      </w:r>
      <w:r>
        <w:rPr>
          <w:rFonts w:hint="eastAsia" w:ascii="仿宋" w:hAnsi="仿宋" w:eastAsia="仿宋" w:cs="仿宋"/>
          <w:color w:val="000000"/>
          <w:kern w:val="0"/>
          <w:sz w:val="27"/>
          <w:szCs w:val="27"/>
          <w:u w:val="none" w:color="auto"/>
          <w:lang w:val="en-US" w:eastAsia="zh-CN"/>
        </w:rPr>
        <w:t>新增1名到龄退休人员</w:t>
      </w:r>
      <w:r>
        <w:rPr>
          <w:rFonts w:hint="eastAsia" w:ascii="仿宋" w:hAnsi="仿宋" w:eastAsia="仿宋" w:cs="仿宋"/>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2．行政事业单位养老支出（款）事业单位离退休（项）。年初预算</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%。决算数与年初预算数的差异原因：</w:t>
      </w:r>
      <w:r>
        <w:rPr>
          <w:rFonts w:hint="eastAsia" w:ascii="仿宋" w:hAnsi="仿宋" w:eastAsia="仿宋" w:cs="仿宋"/>
          <w:color w:val="000000"/>
          <w:kern w:val="0"/>
          <w:sz w:val="27"/>
          <w:szCs w:val="27"/>
          <w:u w:val="none" w:color="auto"/>
          <w:lang w:val="en-US" w:eastAsia="zh-CN"/>
        </w:rPr>
        <w:t>无差异</w:t>
      </w:r>
      <w:r>
        <w:rPr>
          <w:rFonts w:hint="eastAsia" w:ascii="仿宋" w:hAnsi="仿宋" w:eastAsia="仿宋" w:cs="仿宋"/>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 w:hAnsi="仿宋" w:eastAsia="仿宋" w:cs="仿宋"/>
          <w:color w:val="000000"/>
          <w:kern w:val="0"/>
          <w:sz w:val="27"/>
          <w:szCs w:val="27"/>
          <w:u w:val="none" w:color="auto"/>
        </w:rPr>
      </w:pPr>
      <w:r>
        <w:rPr>
          <w:rFonts w:ascii="仿宋_GB2312" w:hAnsi="仿宋_GB2312" w:eastAsia="仿宋_GB2312" w:cs="仿宋_GB2312"/>
          <w:color w:val="000000"/>
          <w:kern w:val="0"/>
          <w:sz w:val="27"/>
          <w:szCs w:val="27"/>
        </w:rPr>
        <w:t>    </w:t>
      </w:r>
      <w:r>
        <w:rPr>
          <w:rFonts w:hint="eastAsia" w:ascii="仿宋" w:hAnsi="仿宋" w:eastAsia="仿宋" w:cs="仿宋"/>
          <w:color w:val="000000"/>
          <w:kern w:val="0"/>
          <w:sz w:val="27"/>
          <w:szCs w:val="27"/>
          <w:u w:val="none" w:color="auto"/>
          <w:lang w:val="en-US" w:eastAsia="zh-CN"/>
        </w:rPr>
        <w:t xml:space="preserve"> </w:t>
      </w:r>
      <w:r>
        <w:rPr>
          <w:rFonts w:hint="eastAsia" w:ascii="仿宋" w:hAnsi="仿宋" w:eastAsia="仿宋" w:cs="仿宋"/>
          <w:color w:val="000000"/>
          <w:kern w:val="0"/>
          <w:sz w:val="27"/>
          <w:szCs w:val="27"/>
          <w:u w:val="none" w:color="auto"/>
        </w:rPr>
        <w:t>3．行政事业单位养老支出（款）机关事业单位基本养老保险缴费支出（项）。年初预算</w:t>
      </w:r>
      <w:r>
        <w:rPr>
          <w:rFonts w:hint="eastAsia" w:ascii="仿宋" w:hAnsi="仿宋" w:eastAsia="仿宋" w:cs="仿宋"/>
          <w:color w:val="000000"/>
          <w:kern w:val="0"/>
          <w:sz w:val="27"/>
          <w:szCs w:val="27"/>
          <w:u w:val="none" w:color="auto"/>
          <w:lang w:val="en-US" w:eastAsia="zh-CN"/>
        </w:rPr>
        <w:t>42.40</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32.62</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76.93</w:t>
      </w:r>
      <w:r>
        <w:rPr>
          <w:rFonts w:hint="eastAsia" w:ascii="仿宋" w:hAnsi="仿宋" w:eastAsia="仿宋" w:cs="仿宋"/>
          <w:color w:val="000000"/>
          <w:kern w:val="0"/>
          <w:sz w:val="27"/>
          <w:szCs w:val="27"/>
          <w:u w:val="none" w:color="auto"/>
        </w:rPr>
        <w:t>%。决算数与年初预算数的差异原因：</w:t>
      </w:r>
      <w:r>
        <w:rPr>
          <w:rFonts w:hint="eastAsia" w:ascii="仿宋" w:hAnsi="仿宋" w:eastAsia="仿宋" w:cs="仿宋"/>
          <w:color w:val="000000"/>
          <w:kern w:val="0"/>
          <w:sz w:val="27"/>
          <w:szCs w:val="27"/>
          <w:u w:val="none" w:color="auto"/>
          <w:lang w:val="en-US" w:eastAsia="zh-CN"/>
        </w:rPr>
        <w:t>人员调动，且退休一名人员</w:t>
      </w:r>
      <w:r>
        <w:rPr>
          <w:rFonts w:hint="eastAsia" w:ascii="仿宋" w:hAnsi="仿宋" w:eastAsia="仿宋" w:cs="仿宋"/>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default" w:ascii="仿宋" w:hAnsi="仿宋" w:eastAsia="仿宋" w:cs="仿宋"/>
          <w:color w:val="000000"/>
          <w:kern w:val="0"/>
          <w:sz w:val="27"/>
          <w:szCs w:val="27"/>
          <w:u w:val="none" w:color="auto"/>
          <w:lang w:val="en-US" w:eastAsia="zh-CN"/>
        </w:rPr>
      </w:pPr>
      <w:r>
        <w:rPr>
          <w:rFonts w:hint="eastAsia" w:ascii="仿宋" w:hAnsi="仿宋" w:eastAsia="仿宋" w:cs="仿宋"/>
          <w:color w:val="000000"/>
          <w:kern w:val="0"/>
          <w:sz w:val="27"/>
          <w:szCs w:val="27"/>
          <w:u w:val="none" w:color="auto"/>
        </w:rPr>
        <w:t>4．行政事业单位养老支出（款）机关事业单位职业年金缴费支出（项）。年初预算</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20.52</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100</w:t>
      </w:r>
      <w:r>
        <w:rPr>
          <w:rFonts w:hint="eastAsia" w:ascii="仿宋" w:hAnsi="仿宋" w:eastAsia="仿宋" w:cs="仿宋"/>
          <w:color w:val="000000"/>
          <w:kern w:val="0"/>
          <w:sz w:val="27"/>
          <w:szCs w:val="27"/>
          <w:u w:val="none" w:color="auto"/>
        </w:rPr>
        <w:t>%。决算数与年初预算数的差异原因</w:t>
      </w:r>
      <w:r>
        <w:rPr>
          <w:rFonts w:hint="eastAsia" w:ascii="仿宋" w:hAnsi="仿宋" w:eastAsia="仿宋" w:cs="仿宋"/>
          <w:color w:val="000000"/>
          <w:kern w:val="0"/>
          <w:sz w:val="27"/>
          <w:szCs w:val="27"/>
          <w:u w:val="none" w:color="auto"/>
          <w:lang w:eastAsia="zh-CN"/>
        </w:rPr>
        <w:t>：</w:t>
      </w:r>
      <w:r>
        <w:rPr>
          <w:rFonts w:hint="eastAsia" w:ascii="仿宋" w:hAnsi="仿宋" w:eastAsia="仿宋" w:cs="仿宋"/>
          <w:color w:val="000000"/>
          <w:kern w:val="0"/>
          <w:sz w:val="27"/>
          <w:szCs w:val="27"/>
          <w:u w:val="none" w:color="auto"/>
          <w:lang w:val="en-US" w:eastAsia="zh-CN"/>
        </w:rPr>
        <w:t>为2024年度退休人员缴纳的职业年金。</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default" w:ascii="仿宋" w:hAnsi="仿宋" w:eastAsia="仿宋" w:cs="仿宋"/>
          <w:color w:val="000000"/>
          <w:kern w:val="0"/>
          <w:sz w:val="27"/>
          <w:szCs w:val="27"/>
          <w:u w:val="none" w:color="auto"/>
          <w:lang w:val="en-US" w:eastAsia="zh-CN"/>
        </w:rPr>
      </w:pPr>
      <w:r>
        <w:rPr>
          <w:rFonts w:hint="eastAsia" w:ascii="仿宋" w:hAnsi="仿宋" w:eastAsia="仿宋" w:cs="仿宋"/>
          <w:color w:val="000000"/>
          <w:kern w:val="0"/>
          <w:sz w:val="27"/>
          <w:szCs w:val="27"/>
          <w:u w:val="none" w:color="auto"/>
          <w:lang w:val="en-US" w:eastAsia="zh-CN"/>
        </w:rPr>
        <w:t>5.</w:t>
      </w:r>
      <w:r>
        <w:rPr>
          <w:rFonts w:hint="eastAsia" w:ascii="仿宋" w:hAnsi="仿宋" w:eastAsia="仿宋" w:cs="仿宋"/>
          <w:color w:val="000000"/>
          <w:kern w:val="0"/>
          <w:sz w:val="27"/>
          <w:szCs w:val="27"/>
          <w:u w:val="none" w:color="auto"/>
        </w:rPr>
        <w:t>抚恤（款）死亡抚恤（项）</w:t>
      </w:r>
      <w:r>
        <w:rPr>
          <w:rFonts w:hint="eastAsia" w:ascii="仿宋" w:hAnsi="仿宋" w:eastAsia="仿宋" w:cs="仿宋"/>
          <w:color w:val="000000"/>
          <w:kern w:val="0"/>
          <w:sz w:val="27"/>
          <w:szCs w:val="27"/>
          <w:u w:val="none" w:color="auto"/>
          <w:lang w:eastAsia="zh-CN"/>
        </w:rPr>
        <w:t>。</w:t>
      </w:r>
      <w:r>
        <w:rPr>
          <w:rFonts w:hint="eastAsia" w:ascii="仿宋" w:hAnsi="仿宋" w:eastAsia="仿宋" w:cs="仿宋"/>
          <w:color w:val="000000"/>
          <w:kern w:val="0"/>
          <w:sz w:val="27"/>
          <w:szCs w:val="27"/>
          <w:u w:val="none" w:color="auto"/>
        </w:rPr>
        <w:t>年初预算</w:t>
      </w:r>
      <w:r>
        <w:rPr>
          <w:rFonts w:hint="eastAsia" w:ascii="仿宋" w:hAnsi="仿宋" w:eastAsia="仿宋" w:cs="仿宋"/>
          <w:color w:val="000000"/>
          <w:kern w:val="0"/>
          <w:sz w:val="27"/>
          <w:szCs w:val="27"/>
          <w:u w:val="none" w:color="auto"/>
          <w:lang w:val="en-US" w:eastAsia="zh-CN"/>
        </w:rPr>
        <w:t>4.94</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59.52</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100</w:t>
      </w:r>
      <w:r>
        <w:rPr>
          <w:rFonts w:hint="eastAsia" w:ascii="仿宋" w:hAnsi="仿宋" w:eastAsia="仿宋" w:cs="仿宋"/>
          <w:color w:val="000000"/>
          <w:kern w:val="0"/>
          <w:sz w:val="27"/>
          <w:szCs w:val="27"/>
          <w:u w:val="none" w:color="auto"/>
        </w:rPr>
        <w:t>%。决算数与年初预算数的差异原因</w:t>
      </w:r>
      <w:r>
        <w:rPr>
          <w:rFonts w:hint="eastAsia" w:ascii="仿宋" w:hAnsi="仿宋" w:eastAsia="仿宋" w:cs="仿宋"/>
          <w:color w:val="000000"/>
          <w:kern w:val="0"/>
          <w:sz w:val="27"/>
          <w:szCs w:val="27"/>
          <w:u w:val="none" w:color="auto"/>
          <w:lang w:val="en-US" w:eastAsia="zh-CN"/>
        </w:rPr>
        <w:t>：有退休人员死亡，财政追加抚恤金。</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eastAsia="仿宋"/>
          <w:i w:val="0"/>
          <w:iCs w:val="0"/>
          <w:u w:val="none" w:color="auto"/>
          <w:lang w:val="en-US" w:eastAsia="zh-CN"/>
        </w:rPr>
      </w:pPr>
      <w:r>
        <w:rPr>
          <w:rFonts w:hint="eastAsia" w:ascii="仿宋" w:hAnsi="仿宋" w:eastAsia="仿宋" w:cs="仿宋"/>
          <w:color w:val="000000"/>
          <w:kern w:val="0"/>
          <w:sz w:val="27"/>
          <w:szCs w:val="27"/>
          <w:u w:val="none" w:color="auto"/>
          <w:lang w:val="en-US" w:eastAsia="zh-CN"/>
        </w:rPr>
        <w:t>6.其他社会保障和就业支出（款）其他社会保障和就业支出</w:t>
      </w:r>
      <w:r>
        <w:rPr>
          <w:rFonts w:hint="eastAsia" w:ascii="仿宋" w:hAnsi="仿宋" w:eastAsia="仿宋" w:cs="仿宋"/>
          <w:color w:val="000000"/>
          <w:kern w:val="0"/>
          <w:sz w:val="27"/>
          <w:szCs w:val="27"/>
          <w:u w:val="none" w:color="auto"/>
        </w:rPr>
        <w:t>（项）</w:t>
      </w:r>
      <w:r>
        <w:rPr>
          <w:rFonts w:hint="eastAsia" w:ascii="仿宋" w:hAnsi="仿宋" w:eastAsia="仿宋" w:cs="仿宋"/>
          <w:color w:val="000000"/>
          <w:kern w:val="0"/>
          <w:sz w:val="27"/>
          <w:szCs w:val="27"/>
          <w:u w:val="none" w:color="auto"/>
          <w:lang w:eastAsia="zh-CN"/>
        </w:rPr>
        <w:t>。</w:t>
      </w:r>
      <w:r>
        <w:rPr>
          <w:rFonts w:hint="eastAsia" w:ascii="仿宋" w:hAnsi="仿宋" w:eastAsia="仿宋" w:cs="仿宋"/>
          <w:color w:val="000000"/>
          <w:kern w:val="0"/>
          <w:sz w:val="27"/>
          <w:szCs w:val="27"/>
          <w:u w:val="none" w:color="auto"/>
        </w:rPr>
        <w:t>年初预算</w:t>
      </w:r>
      <w:r>
        <w:rPr>
          <w:rFonts w:hint="eastAsia" w:ascii="仿宋" w:hAnsi="仿宋" w:eastAsia="仿宋" w:cs="仿宋"/>
          <w:color w:val="000000"/>
          <w:kern w:val="0"/>
          <w:sz w:val="27"/>
          <w:szCs w:val="27"/>
          <w:u w:val="none" w:color="auto"/>
          <w:lang w:val="en-US" w:eastAsia="zh-CN"/>
        </w:rPr>
        <w:t>1.13</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1.13</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100</w:t>
      </w:r>
      <w:r>
        <w:rPr>
          <w:rFonts w:hint="eastAsia" w:ascii="仿宋" w:hAnsi="仿宋" w:eastAsia="仿宋" w:cs="仿宋"/>
          <w:color w:val="000000"/>
          <w:kern w:val="0"/>
          <w:sz w:val="27"/>
          <w:szCs w:val="27"/>
          <w:u w:val="none" w:color="auto"/>
        </w:rPr>
        <w:t>%。决算数与年初预算数</w:t>
      </w:r>
      <w:r>
        <w:rPr>
          <w:rFonts w:hint="eastAsia" w:ascii="仿宋" w:hAnsi="仿宋" w:eastAsia="仿宋" w:cs="仿宋"/>
          <w:color w:val="000000"/>
          <w:kern w:val="0"/>
          <w:sz w:val="27"/>
          <w:szCs w:val="27"/>
          <w:u w:val="none" w:color="auto"/>
          <w:lang w:val="en-US" w:eastAsia="zh-CN"/>
        </w:rPr>
        <w:t>无</w:t>
      </w:r>
      <w:r>
        <w:rPr>
          <w:rFonts w:hint="eastAsia" w:ascii="仿宋" w:hAnsi="仿宋" w:eastAsia="仿宋" w:cs="仿宋"/>
          <w:color w:val="000000"/>
          <w:kern w:val="0"/>
          <w:sz w:val="27"/>
          <w:szCs w:val="27"/>
          <w:u w:val="none" w:color="auto"/>
        </w:rPr>
        <w:t>差异</w:t>
      </w:r>
      <w:r>
        <w:rPr>
          <w:rFonts w:hint="eastAsia" w:ascii="仿宋" w:hAnsi="仿宋" w:eastAsia="仿宋" w:cs="仿宋"/>
          <w:color w:val="000000"/>
          <w:kern w:val="0"/>
          <w:sz w:val="27"/>
          <w:szCs w:val="27"/>
          <w:u w:val="none" w:color="auto"/>
          <w:lang w:eastAsia="zh-CN"/>
        </w:rPr>
        <w:t>。</w:t>
      </w:r>
    </w:p>
    <w:p>
      <w:pPr>
        <w:widowControl/>
        <w:spacing w:before="240" w:after="240"/>
        <w:jc w:val="left"/>
        <w:rPr>
          <w:rFonts w:ascii="Times New Roman" w:hAnsi="Times New Roman" w:eastAsia="Times New Roman" w:cs="Times New Roman"/>
          <w:i w:val="0"/>
          <w:iCs w:val="0"/>
          <w:kern w:val="0"/>
          <w:sz w:val="24"/>
          <w:u w:val="none" w:color="auto"/>
        </w:rPr>
      </w:pPr>
      <w:r>
        <w:rPr>
          <w:rFonts w:hint="eastAsia" w:ascii="kai_ti_gb2312" w:hAnsi="kai_ti_gb2312" w:eastAsia="宋体" w:cs="kai_ti_gb2312"/>
          <w:b/>
          <w:bCs/>
          <w:i w:val="0"/>
          <w:iCs w:val="0"/>
          <w:color w:val="000000"/>
          <w:kern w:val="0"/>
          <w:sz w:val="27"/>
          <w:szCs w:val="27"/>
          <w:u w:val="none" w:color="auto"/>
          <w:lang w:val="en-US" w:eastAsia="zh-CN"/>
        </w:rPr>
        <w:t xml:space="preserve">   </w:t>
      </w:r>
      <w:r>
        <w:rPr>
          <w:rFonts w:ascii="kai_ti_gb2312" w:hAnsi="kai_ti_gb2312" w:eastAsia="kai_ti_gb2312" w:cs="kai_ti_gb2312"/>
          <w:b/>
          <w:bCs/>
          <w:i w:val="0"/>
          <w:iCs w:val="0"/>
          <w:color w:val="000000"/>
          <w:kern w:val="0"/>
          <w:sz w:val="27"/>
          <w:szCs w:val="27"/>
          <w:u w:val="none" w:color="auto"/>
        </w:rPr>
        <w:t>（四）卫生健康支出（类）</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 w:hAnsi="仿宋" w:eastAsia="仿宋" w:cs="仿宋"/>
          <w:color w:val="000000"/>
          <w:kern w:val="0"/>
          <w:sz w:val="27"/>
          <w:szCs w:val="27"/>
          <w:u w:val="none" w:color="auto"/>
        </w:rPr>
      </w:pPr>
      <w:r>
        <w:rPr>
          <w:rFonts w:ascii="仿宋_GB2312" w:hAnsi="仿宋_GB2312" w:eastAsia="仿宋_GB2312" w:cs="仿宋_GB2312"/>
          <w:i w:val="0"/>
          <w:iCs w:val="0"/>
          <w:color w:val="000000"/>
          <w:kern w:val="0"/>
          <w:sz w:val="27"/>
          <w:szCs w:val="27"/>
          <w:u w:val="none" w:color="auto"/>
        </w:rPr>
        <w:t xml:space="preserve"> </w:t>
      </w:r>
      <w:r>
        <w:rPr>
          <w:rFonts w:hint="eastAsia" w:ascii="仿宋" w:hAnsi="仿宋" w:eastAsia="仿宋" w:cs="仿宋"/>
          <w:color w:val="000000"/>
          <w:kern w:val="0"/>
          <w:sz w:val="27"/>
          <w:szCs w:val="27"/>
          <w:u w:val="none" w:color="auto"/>
        </w:rPr>
        <w:t>卫生健康支出（类）决算数为 42.64万元，与年初预算相比增加（减少） 0万元。其中：</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 w:hAnsi="仿宋" w:eastAsia="仿宋" w:cs="仿宋"/>
          <w:color w:val="000000"/>
          <w:kern w:val="0"/>
          <w:sz w:val="27"/>
          <w:szCs w:val="27"/>
          <w:u w:val="none" w:color="auto"/>
        </w:rPr>
      </w:pPr>
      <w:r>
        <w:rPr>
          <w:rFonts w:hint="eastAsia" w:ascii="仿宋" w:hAnsi="仿宋" w:eastAsia="仿宋" w:cs="仿宋"/>
          <w:color w:val="000000"/>
          <w:kern w:val="0"/>
          <w:sz w:val="27"/>
          <w:szCs w:val="27"/>
          <w:u w:val="none" w:color="auto"/>
        </w:rPr>
        <w:t> 1．行政事业单位医疗（款）行政单位医疗（项）。年初预算</w:t>
      </w:r>
      <w:r>
        <w:rPr>
          <w:rFonts w:hint="eastAsia" w:ascii="仿宋" w:hAnsi="仿宋" w:eastAsia="仿宋" w:cs="仿宋"/>
          <w:color w:val="000000"/>
          <w:kern w:val="0"/>
          <w:sz w:val="27"/>
          <w:szCs w:val="27"/>
          <w:u w:val="none" w:color="auto"/>
          <w:lang w:val="en-US" w:eastAsia="zh-CN"/>
        </w:rPr>
        <w:t>24.59</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24.59</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100</w:t>
      </w:r>
      <w:r>
        <w:rPr>
          <w:rFonts w:hint="eastAsia" w:ascii="仿宋" w:hAnsi="仿宋" w:eastAsia="仿宋" w:cs="仿宋"/>
          <w:color w:val="000000"/>
          <w:kern w:val="0"/>
          <w:sz w:val="27"/>
          <w:szCs w:val="27"/>
          <w:u w:val="none" w:color="auto"/>
        </w:rPr>
        <w:t>%。决算数与年初预算数</w:t>
      </w:r>
      <w:r>
        <w:rPr>
          <w:rFonts w:hint="eastAsia" w:ascii="仿宋" w:hAnsi="仿宋" w:eastAsia="仿宋" w:cs="仿宋"/>
          <w:color w:val="000000"/>
          <w:kern w:val="0"/>
          <w:sz w:val="27"/>
          <w:szCs w:val="27"/>
          <w:u w:val="none" w:color="auto"/>
          <w:lang w:val="en-US" w:eastAsia="zh-CN"/>
        </w:rPr>
        <w:t>无</w:t>
      </w:r>
      <w:r>
        <w:rPr>
          <w:rFonts w:hint="eastAsia" w:ascii="仿宋" w:hAnsi="仿宋" w:eastAsia="仿宋" w:cs="仿宋"/>
          <w:color w:val="000000"/>
          <w:kern w:val="0"/>
          <w:sz w:val="27"/>
          <w:szCs w:val="27"/>
          <w:u w:val="none" w:color="auto"/>
        </w:rPr>
        <w:t>差异原因。</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 w:hAnsi="仿宋" w:eastAsia="仿宋" w:cs="仿宋"/>
          <w:color w:val="000000"/>
          <w:kern w:val="0"/>
          <w:sz w:val="27"/>
          <w:szCs w:val="27"/>
          <w:u w:val="none" w:color="auto"/>
        </w:rPr>
      </w:pPr>
      <w:r>
        <w:rPr>
          <w:rFonts w:hint="eastAsia" w:ascii="仿宋" w:hAnsi="仿宋" w:eastAsia="仿宋" w:cs="仿宋"/>
          <w:color w:val="000000"/>
          <w:kern w:val="0"/>
          <w:sz w:val="27"/>
          <w:szCs w:val="27"/>
          <w:u w:val="none" w:color="auto"/>
        </w:rPr>
        <w:t>  2．行政事业单位医疗（款）事业单位医疗（项）。年初预算</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%。决算数与年初预算数的差异原因：</w:t>
      </w:r>
      <w:r>
        <w:rPr>
          <w:rFonts w:hint="eastAsia" w:ascii="仿宋" w:hAnsi="仿宋" w:eastAsia="仿宋" w:cs="仿宋"/>
          <w:color w:val="000000"/>
          <w:kern w:val="0"/>
          <w:sz w:val="27"/>
          <w:szCs w:val="27"/>
          <w:u w:val="none" w:color="auto"/>
          <w:lang w:val="en-US" w:eastAsia="zh-CN"/>
        </w:rPr>
        <w:t>我单位为行政单位，无差异</w:t>
      </w:r>
      <w:r>
        <w:rPr>
          <w:rFonts w:hint="eastAsia" w:ascii="仿宋" w:hAnsi="仿宋" w:eastAsia="仿宋" w:cs="仿宋"/>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ind w:firstLine="540" w:firstLineChars="200"/>
        <w:jc w:val="left"/>
        <w:textAlignment w:val="auto"/>
        <w:rPr>
          <w:rFonts w:hint="eastAsia" w:ascii="仿宋" w:hAnsi="仿宋" w:eastAsia="仿宋" w:cs="仿宋"/>
          <w:color w:val="000000"/>
          <w:kern w:val="0"/>
          <w:sz w:val="27"/>
          <w:szCs w:val="27"/>
          <w:u w:val="none" w:color="auto"/>
        </w:rPr>
      </w:pPr>
      <w:r>
        <w:rPr>
          <w:rFonts w:hint="eastAsia" w:ascii="仿宋" w:hAnsi="仿宋" w:eastAsia="仿宋" w:cs="仿宋"/>
          <w:color w:val="000000"/>
          <w:kern w:val="0"/>
          <w:sz w:val="27"/>
          <w:szCs w:val="27"/>
          <w:u w:val="none" w:color="auto"/>
        </w:rPr>
        <w:t>  3．行政事业单位医疗（款）公务员医疗补助（项）。年初预算</w:t>
      </w:r>
      <w:r>
        <w:rPr>
          <w:rFonts w:hint="eastAsia" w:ascii="仿宋" w:hAnsi="仿宋" w:eastAsia="仿宋" w:cs="仿宋"/>
          <w:color w:val="000000"/>
          <w:kern w:val="0"/>
          <w:sz w:val="27"/>
          <w:szCs w:val="27"/>
          <w:u w:val="none" w:color="auto"/>
          <w:lang w:val="en-US" w:eastAsia="zh-CN"/>
        </w:rPr>
        <w:t>18.05</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18.05</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100</w:t>
      </w:r>
      <w:r>
        <w:rPr>
          <w:rFonts w:hint="eastAsia" w:ascii="仿宋" w:hAnsi="仿宋" w:eastAsia="仿宋" w:cs="仿宋"/>
          <w:color w:val="000000"/>
          <w:kern w:val="0"/>
          <w:sz w:val="27"/>
          <w:szCs w:val="27"/>
          <w:u w:val="none" w:color="auto"/>
        </w:rPr>
        <w:t>%。决算数与年初预算数</w:t>
      </w:r>
      <w:r>
        <w:rPr>
          <w:rFonts w:hint="eastAsia" w:ascii="仿宋" w:hAnsi="仿宋" w:eastAsia="仿宋" w:cs="仿宋"/>
          <w:color w:val="000000"/>
          <w:kern w:val="0"/>
          <w:sz w:val="27"/>
          <w:szCs w:val="27"/>
          <w:u w:val="none" w:color="auto"/>
          <w:lang w:val="en-US" w:eastAsia="zh-CN"/>
        </w:rPr>
        <w:t>无</w:t>
      </w:r>
      <w:r>
        <w:rPr>
          <w:rFonts w:hint="eastAsia" w:ascii="仿宋" w:hAnsi="仿宋" w:eastAsia="仿宋" w:cs="仿宋"/>
          <w:color w:val="000000"/>
          <w:kern w:val="0"/>
          <w:sz w:val="27"/>
          <w:szCs w:val="27"/>
          <w:u w:val="none" w:color="auto"/>
        </w:rPr>
        <w:t>差异。</w:t>
      </w:r>
    </w:p>
    <w:p>
      <w:pPr>
        <w:widowControl/>
        <w:spacing w:before="240" w:after="240"/>
        <w:ind w:firstLine="542" w:firstLineChars="200"/>
        <w:jc w:val="left"/>
        <w:rPr>
          <w:rFonts w:hint="eastAsia" w:ascii="kai_ti_gb2312" w:hAnsi="kai_ti_gb2312" w:eastAsia="宋体" w:cs="kai_ti_gb2312"/>
          <w:b/>
          <w:bCs/>
          <w:i w:val="0"/>
          <w:iCs w:val="0"/>
          <w:color w:val="000000"/>
          <w:kern w:val="0"/>
          <w:sz w:val="27"/>
          <w:szCs w:val="27"/>
          <w:u w:val="none" w:color="auto"/>
          <w:lang w:eastAsia="zh-CN"/>
        </w:rPr>
      </w:pPr>
      <w:r>
        <w:rPr>
          <w:rFonts w:hint="eastAsia" w:ascii="仿宋" w:hAnsi="仿宋" w:eastAsia="仿宋" w:cs="仿宋"/>
          <w:b/>
          <w:bCs/>
          <w:color w:val="000000"/>
          <w:kern w:val="0"/>
          <w:sz w:val="27"/>
          <w:szCs w:val="27"/>
          <w:lang w:eastAsia="zh-CN"/>
        </w:rPr>
        <w:t>（</w:t>
      </w:r>
      <w:r>
        <w:rPr>
          <w:rFonts w:hint="eastAsia" w:ascii="kai_ti_gb2312" w:hAnsi="kai_ti_gb2312" w:eastAsia="宋体" w:cs="kai_ti_gb2312"/>
          <w:b/>
          <w:bCs/>
          <w:i w:val="0"/>
          <w:iCs w:val="0"/>
          <w:color w:val="000000"/>
          <w:kern w:val="0"/>
          <w:sz w:val="27"/>
          <w:szCs w:val="27"/>
          <w:u w:val="none" w:color="auto"/>
          <w:lang w:val="en-US" w:eastAsia="zh-CN"/>
        </w:rPr>
        <w:t>五</w:t>
      </w:r>
      <w:r>
        <w:rPr>
          <w:rFonts w:hint="eastAsia" w:ascii="仿宋" w:hAnsi="仿宋" w:eastAsia="仿宋" w:cs="仿宋"/>
          <w:b/>
          <w:bCs/>
          <w:color w:val="000000"/>
          <w:kern w:val="0"/>
          <w:sz w:val="27"/>
          <w:szCs w:val="27"/>
          <w:lang w:eastAsia="zh-CN"/>
        </w:rPr>
        <w:t>）</w:t>
      </w:r>
      <w:r>
        <w:rPr>
          <w:rFonts w:hint="eastAsia" w:ascii="kai_ti_gb2312" w:hAnsi="kai_ti_gb2312" w:eastAsia="kai_ti_gb2312" w:cs="kai_ti_gb2312"/>
          <w:b/>
          <w:bCs/>
          <w:i w:val="0"/>
          <w:iCs w:val="0"/>
          <w:color w:val="000000"/>
          <w:kern w:val="0"/>
          <w:sz w:val="27"/>
          <w:szCs w:val="27"/>
          <w:u w:val="none" w:color="auto"/>
        </w:rPr>
        <w:t>城乡社区支出</w:t>
      </w:r>
      <w:r>
        <w:rPr>
          <w:rFonts w:hint="eastAsia" w:ascii="kai_ti_gb2312" w:hAnsi="kai_ti_gb2312" w:eastAsia="宋体" w:cs="kai_ti_gb2312"/>
          <w:b/>
          <w:bCs/>
          <w:i w:val="0"/>
          <w:iCs w:val="0"/>
          <w:color w:val="000000"/>
          <w:kern w:val="0"/>
          <w:sz w:val="27"/>
          <w:szCs w:val="27"/>
          <w:u w:val="none" w:color="auto"/>
          <w:lang w:eastAsia="zh-CN"/>
        </w:rPr>
        <w:t>（</w:t>
      </w:r>
      <w:r>
        <w:rPr>
          <w:rFonts w:hint="eastAsia" w:ascii="kai_ti_gb2312" w:hAnsi="kai_ti_gb2312" w:eastAsia="宋体" w:cs="kai_ti_gb2312"/>
          <w:b/>
          <w:bCs/>
          <w:i w:val="0"/>
          <w:iCs w:val="0"/>
          <w:color w:val="000000"/>
          <w:kern w:val="0"/>
          <w:sz w:val="27"/>
          <w:szCs w:val="27"/>
          <w:u w:val="none" w:color="auto"/>
          <w:lang w:val="en-US" w:eastAsia="zh-CN"/>
        </w:rPr>
        <w:t>类</w:t>
      </w:r>
      <w:r>
        <w:rPr>
          <w:rFonts w:hint="eastAsia" w:ascii="kai_ti_gb2312" w:hAnsi="kai_ti_gb2312" w:eastAsia="宋体" w:cs="kai_ti_gb2312"/>
          <w:b/>
          <w:bCs/>
          <w:i w:val="0"/>
          <w:iCs w:val="0"/>
          <w:color w:val="000000"/>
          <w:kern w:val="0"/>
          <w:sz w:val="27"/>
          <w:szCs w:val="27"/>
          <w:u w:val="none" w:color="auto"/>
          <w:lang w:eastAsia="zh-CN"/>
        </w:rPr>
        <w:t>）</w:t>
      </w:r>
    </w:p>
    <w:p>
      <w:pPr>
        <w:pStyle w:val="2"/>
        <w:ind w:left="0" w:leftChars="0" w:firstLine="540" w:firstLineChars="200"/>
        <w:rPr>
          <w:rFonts w:hint="eastAsia" w:ascii="仿宋" w:hAnsi="仿宋" w:eastAsia="仿宋" w:cs="仿宋"/>
          <w:color w:val="000000"/>
          <w:kern w:val="0"/>
          <w:sz w:val="27"/>
          <w:szCs w:val="27"/>
          <w:u w:val="none" w:color="auto"/>
        </w:rPr>
      </w:pPr>
      <w:r>
        <w:rPr>
          <w:rFonts w:hint="eastAsia" w:ascii="仿宋" w:hAnsi="仿宋" w:eastAsia="仿宋" w:cs="仿宋"/>
          <w:color w:val="000000"/>
          <w:kern w:val="0"/>
          <w:sz w:val="27"/>
          <w:szCs w:val="27"/>
          <w:u w:val="none" w:color="auto"/>
        </w:rPr>
        <w:t>城乡社区支出（类）决算数为</w:t>
      </w:r>
      <w:r>
        <w:rPr>
          <w:rFonts w:hint="eastAsia" w:ascii="仿宋" w:hAnsi="仿宋" w:eastAsia="仿宋" w:cs="仿宋"/>
          <w:color w:val="000000"/>
          <w:kern w:val="0"/>
          <w:sz w:val="27"/>
          <w:szCs w:val="27"/>
          <w:u w:val="none" w:color="auto"/>
          <w:lang w:val="en-US" w:eastAsia="zh-CN"/>
        </w:rPr>
        <w:t>1028.93</w:t>
      </w:r>
      <w:r>
        <w:rPr>
          <w:rFonts w:hint="eastAsia" w:ascii="仿宋" w:hAnsi="仿宋" w:eastAsia="仿宋" w:cs="仿宋"/>
          <w:color w:val="000000"/>
          <w:kern w:val="0"/>
          <w:sz w:val="27"/>
          <w:szCs w:val="27"/>
          <w:u w:val="none" w:color="auto"/>
        </w:rPr>
        <w:t>万元，与年初预算相比</w:t>
      </w:r>
      <w:r>
        <w:rPr>
          <w:rFonts w:hint="eastAsia" w:ascii="仿宋" w:hAnsi="仿宋" w:eastAsia="仿宋" w:cs="仿宋"/>
          <w:color w:val="000000"/>
          <w:kern w:val="0"/>
          <w:sz w:val="27"/>
          <w:szCs w:val="27"/>
          <w:u w:val="none" w:color="auto"/>
          <w:lang w:val="en-US" w:eastAsia="zh-CN"/>
        </w:rPr>
        <w:t>595.57</w:t>
      </w:r>
      <w:r>
        <w:rPr>
          <w:rFonts w:hint="eastAsia" w:ascii="仿宋" w:hAnsi="仿宋" w:eastAsia="仿宋" w:cs="仿宋"/>
          <w:color w:val="000000"/>
          <w:kern w:val="0"/>
          <w:sz w:val="27"/>
          <w:szCs w:val="27"/>
          <w:u w:val="none" w:color="auto"/>
        </w:rPr>
        <w:t>万元。其中：</w:t>
      </w:r>
    </w:p>
    <w:p>
      <w:pPr>
        <w:pStyle w:val="2"/>
        <w:numPr>
          <w:ilvl w:val="0"/>
          <w:numId w:val="1"/>
        </w:numPr>
        <w:ind w:left="0" w:leftChars="0" w:firstLine="540" w:firstLineChars="200"/>
        <w:rPr>
          <w:rFonts w:hint="eastAsia" w:ascii="仿宋" w:hAnsi="仿宋" w:eastAsia="仿宋" w:cs="仿宋"/>
          <w:color w:val="000000"/>
          <w:kern w:val="0"/>
          <w:sz w:val="27"/>
          <w:szCs w:val="27"/>
          <w:u w:val="none" w:color="auto"/>
        </w:rPr>
      </w:pPr>
      <w:r>
        <w:rPr>
          <w:rFonts w:hint="eastAsia" w:ascii="仿宋" w:hAnsi="仿宋" w:eastAsia="仿宋" w:cs="仿宋"/>
          <w:color w:val="000000"/>
          <w:kern w:val="0"/>
          <w:sz w:val="27"/>
          <w:szCs w:val="27"/>
          <w:u w:val="none" w:color="auto"/>
          <w:lang w:eastAsia="zh-CN"/>
        </w:rPr>
        <w:t>城乡社区管理事务（</w:t>
      </w:r>
      <w:r>
        <w:rPr>
          <w:rFonts w:hint="eastAsia" w:ascii="仿宋" w:hAnsi="仿宋" w:eastAsia="仿宋" w:cs="仿宋"/>
          <w:color w:val="000000"/>
          <w:kern w:val="0"/>
          <w:sz w:val="27"/>
          <w:szCs w:val="27"/>
          <w:u w:val="none" w:color="auto"/>
          <w:lang w:val="en-US" w:eastAsia="zh-CN"/>
        </w:rPr>
        <w:t>款</w:t>
      </w:r>
      <w:r>
        <w:rPr>
          <w:rFonts w:hint="eastAsia" w:ascii="仿宋" w:hAnsi="仿宋" w:eastAsia="仿宋" w:cs="仿宋"/>
          <w:color w:val="000000"/>
          <w:kern w:val="0"/>
          <w:sz w:val="27"/>
          <w:szCs w:val="27"/>
          <w:u w:val="none" w:color="auto"/>
          <w:lang w:eastAsia="zh-CN"/>
        </w:rPr>
        <w:t>）行政运行（</w:t>
      </w:r>
      <w:r>
        <w:rPr>
          <w:rFonts w:hint="eastAsia" w:ascii="仿宋" w:hAnsi="仿宋" w:eastAsia="仿宋" w:cs="仿宋"/>
          <w:color w:val="000000"/>
          <w:kern w:val="0"/>
          <w:sz w:val="27"/>
          <w:szCs w:val="27"/>
          <w:u w:val="none" w:color="auto"/>
          <w:lang w:val="en-US" w:eastAsia="zh-CN"/>
        </w:rPr>
        <w:t>项</w:t>
      </w:r>
      <w:r>
        <w:rPr>
          <w:rFonts w:hint="eastAsia" w:ascii="仿宋" w:hAnsi="仿宋" w:eastAsia="仿宋" w:cs="仿宋"/>
          <w:color w:val="000000"/>
          <w:kern w:val="0"/>
          <w:sz w:val="27"/>
          <w:szCs w:val="27"/>
          <w:u w:val="none" w:color="auto"/>
          <w:lang w:eastAsia="zh-CN"/>
        </w:rPr>
        <w:t>）</w:t>
      </w:r>
      <w:r>
        <w:rPr>
          <w:rFonts w:hint="eastAsia" w:ascii="仿宋" w:hAnsi="仿宋" w:eastAsia="仿宋" w:cs="仿宋"/>
          <w:color w:val="000000"/>
          <w:kern w:val="0"/>
          <w:sz w:val="27"/>
          <w:szCs w:val="27"/>
          <w:u w:val="none" w:color="auto"/>
        </w:rPr>
        <w:t>年初预算</w:t>
      </w:r>
      <w:r>
        <w:rPr>
          <w:rFonts w:hint="eastAsia" w:ascii="仿宋" w:hAnsi="仿宋" w:eastAsia="仿宋" w:cs="仿宋"/>
          <w:color w:val="000000"/>
          <w:kern w:val="0"/>
          <w:sz w:val="27"/>
          <w:szCs w:val="27"/>
          <w:u w:val="none" w:color="auto"/>
          <w:lang w:val="en-US" w:eastAsia="zh-CN"/>
        </w:rPr>
        <w:t>433.39</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494.73</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114.15</w:t>
      </w:r>
      <w:r>
        <w:rPr>
          <w:rFonts w:hint="eastAsia" w:ascii="仿宋" w:hAnsi="仿宋" w:eastAsia="仿宋" w:cs="仿宋"/>
          <w:color w:val="000000"/>
          <w:kern w:val="0"/>
          <w:sz w:val="27"/>
          <w:szCs w:val="27"/>
          <w:u w:val="none" w:color="auto"/>
        </w:rPr>
        <w:t>%。决算数与年初预算数的差异原因：</w:t>
      </w:r>
      <w:r>
        <w:rPr>
          <w:rFonts w:hint="eastAsia" w:ascii="仿宋" w:hAnsi="仿宋" w:eastAsia="仿宋" w:cs="仿宋"/>
          <w:color w:val="000000"/>
          <w:kern w:val="0"/>
          <w:sz w:val="27"/>
          <w:szCs w:val="27"/>
          <w:u w:val="none" w:color="auto"/>
          <w:lang w:val="en-US" w:eastAsia="zh-CN"/>
        </w:rPr>
        <w:t>本年度有人员调入。</w:t>
      </w:r>
    </w:p>
    <w:p>
      <w:pPr>
        <w:pStyle w:val="2"/>
        <w:ind w:left="0" w:leftChars="0" w:firstLine="540" w:firstLineChars="200"/>
        <w:rPr>
          <w:rFonts w:hint="default" w:ascii="kai_ti_gb2312" w:hAnsi="kai_ti_gb2312" w:eastAsia="仿宋" w:cs="kai_ti_gb2312"/>
          <w:b/>
          <w:bCs/>
          <w:i w:val="0"/>
          <w:iCs w:val="0"/>
          <w:color w:val="000000"/>
          <w:kern w:val="0"/>
          <w:sz w:val="27"/>
          <w:szCs w:val="27"/>
          <w:u w:val="none" w:color="auto"/>
          <w:lang w:val="en-US" w:eastAsia="zh-CN"/>
        </w:rPr>
      </w:pPr>
      <w:r>
        <w:rPr>
          <w:rFonts w:hint="eastAsia" w:ascii="仿宋" w:hAnsi="仿宋" w:eastAsia="仿宋" w:cs="仿宋"/>
          <w:color w:val="000000"/>
          <w:kern w:val="0"/>
          <w:sz w:val="27"/>
          <w:szCs w:val="27"/>
          <w:u w:val="none" w:color="auto"/>
          <w:lang w:val="en-US" w:eastAsia="zh-CN"/>
        </w:rPr>
        <w:t>2.</w:t>
      </w:r>
      <w:r>
        <w:rPr>
          <w:rFonts w:hint="eastAsia" w:ascii="仿宋" w:hAnsi="仿宋" w:eastAsia="仿宋" w:cs="仿宋"/>
          <w:color w:val="000000"/>
          <w:kern w:val="0"/>
          <w:sz w:val="27"/>
          <w:szCs w:val="27"/>
          <w:u w:val="none" w:color="auto"/>
          <w:lang w:eastAsia="zh-CN"/>
        </w:rPr>
        <w:t>城乡社区公共设施（</w:t>
      </w:r>
      <w:r>
        <w:rPr>
          <w:rFonts w:hint="eastAsia" w:ascii="仿宋" w:hAnsi="仿宋" w:eastAsia="仿宋" w:cs="仿宋"/>
          <w:color w:val="000000"/>
          <w:kern w:val="0"/>
          <w:sz w:val="27"/>
          <w:szCs w:val="27"/>
          <w:u w:val="none" w:color="auto"/>
          <w:lang w:val="en-US" w:eastAsia="zh-CN"/>
        </w:rPr>
        <w:t>款</w:t>
      </w:r>
      <w:r>
        <w:rPr>
          <w:rFonts w:hint="eastAsia" w:ascii="仿宋" w:hAnsi="仿宋" w:eastAsia="仿宋" w:cs="仿宋"/>
          <w:color w:val="000000"/>
          <w:kern w:val="0"/>
          <w:sz w:val="27"/>
          <w:szCs w:val="27"/>
          <w:u w:val="none" w:color="auto"/>
          <w:lang w:eastAsia="zh-CN"/>
        </w:rPr>
        <w:t>）其他城乡社区公共设施支出（</w:t>
      </w:r>
      <w:r>
        <w:rPr>
          <w:rFonts w:hint="eastAsia" w:ascii="仿宋" w:hAnsi="仿宋" w:eastAsia="仿宋" w:cs="仿宋"/>
          <w:color w:val="000000"/>
          <w:kern w:val="0"/>
          <w:sz w:val="27"/>
          <w:szCs w:val="27"/>
          <w:u w:val="none" w:color="auto"/>
          <w:lang w:val="en-US" w:eastAsia="zh-CN"/>
        </w:rPr>
        <w:t>项</w:t>
      </w:r>
      <w:r>
        <w:rPr>
          <w:rFonts w:hint="eastAsia" w:ascii="仿宋" w:hAnsi="仿宋" w:eastAsia="仿宋" w:cs="仿宋"/>
          <w:color w:val="000000"/>
          <w:kern w:val="0"/>
          <w:sz w:val="27"/>
          <w:szCs w:val="27"/>
          <w:u w:val="none" w:color="auto"/>
          <w:lang w:eastAsia="zh-CN"/>
        </w:rPr>
        <w:t>）</w:t>
      </w:r>
      <w:r>
        <w:rPr>
          <w:rFonts w:hint="eastAsia" w:ascii="仿宋" w:hAnsi="仿宋" w:eastAsia="仿宋" w:cs="仿宋"/>
          <w:color w:val="000000"/>
          <w:kern w:val="0"/>
          <w:sz w:val="27"/>
          <w:szCs w:val="27"/>
          <w:u w:val="none" w:color="auto"/>
        </w:rPr>
        <w:t>年初预算</w:t>
      </w:r>
      <w:r>
        <w:rPr>
          <w:rFonts w:hint="eastAsia" w:ascii="仿宋" w:hAnsi="仿宋" w:eastAsia="仿宋" w:cs="仿宋"/>
          <w:color w:val="000000"/>
          <w:kern w:val="0"/>
          <w:sz w:val="27"/>
          <w:szCs w:val="27"/>
          <w:u w:val="none" w:color="auto"/>
          <w:lang w:val="en-US" w:eastAsia="zh-CN"/>
        </w:rPr>
        <w:t>157.18</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534.2</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339.87</w:t>
      </w:r>
      <w:r>
        <w:rPr>
          <w:rFonts w:hint="eastAsia" w:ascii="仿宋" w:hAnsi="仿宋" w:eastAsia="仿宋" w:cs="仿宋"/>
          <w:color w:val="000000"/>
          <w:kern w:val="0"/>
          <w:sz w:val="27"/>
          <w:szCs w:val="27"/>
          <w:u w:val="none" w:color="auto"/>
        </w:rPr>
        <w:t>%。决算数与年初预算数的差异原因</w:t>
      </w:r>
      <w:r>
        <w:rPr>
          <w:rFonts w:hint="eastAsia" w:ascii="仿宋" w:hAnsi="仿宋" w:eastAsia="仿宋" w:cs="仿宋"/>
          <w:color w:val="000000"/>
          <w:kern w:val="0"/>
          <w:sz w:val="27"/>
          <w:szCs w:val="27"/>
          <w:u w:val="none" w:color="auto"/>
          <w:lang w:eastAsia="zh-CN"/>
        </w:rPr>
        <w:t>：</w:t>
      </w:r>
      <w:r>
        <w:rPr>
          <w:rFonts w:hint="eastAsia" w:ascii="仿宋" w:hAnsi="仿宋" w:eastAsia="仿宋" w:cs="仿宋"/>
          <w:color w:val="000000"/>
          <w:kern w:val="0"/>
          <w:sz w:val="27"/>
          <w:szCs w:val="27"/>
          <w:u w:val="none" w:color="auto"/>
          <w:lang w:val="en-US" w:eastAsia="zh-CN"/>
        </w:rPr>
        <w:t>财政拨入城市基础设施建设资金，用于项目工程款的支付。</w:t>
      </w:r>
    </w:p>
    <w:p>
      <w:pPr>
        <w:widowControl/>
        <w:spacing w:before="240" w:after="240"/>
        <w:ind w:firstLine="540" w:firstLineChars="200"/>
        <w:jc w:val="left"/>
        <w:rPr>
          <w:rFonts w:hint="eastAsia" w:ascii="仿宋" w:hAnsi="仿宋" w:eastAsia="仿宋" w:cs="仿宋"/>
          <w:kern w:val="0"/>
          <w:sz w:val="24"/>
        </w:rPr>
      </w:pPr>
      <w:r>
        <w:rPr>
          <w:rFonts w:hint="eastAsia" w:ascii="kai_ti_gb2312" w:hAnsi="kai_ti_gb2312" w:eastAsia="kai_ti_gb2312" w:cs="kai_ti_gb2312"/>
          <w:b/>
          <w:bCs/>
          <w:i w:val="0"/>
          <w:iCs w:val="0"/>
          <w:color w:val="000000"/>
          <w:kern w:val="0"/>
          <w:sz w:val="27"/>
          <w:szCs w:val="27"/>
          <w:u w:val="none" w:color="auto"/>
        </w:rPr>
        <w:t>（</w:t>
      </w:r>
      <w:r>
        <w:rPr>
          <w:rFonts w:hint="eastAsia" w:ascii="kai_ti_gb2312" w:hAnsi="kai_ti_gb2312" w:eastAsia="宋体" w:cs="kai_ti_gb2312"/>
          <w:b/>
          <w:bCs/>
          <w:i w:val="0"/>
          <w:iCs w:val="0"/>
          <w:color w:val="000000"/>
          <w:kern w:val="0"/>
          <w:sz w:val="27"/>
          <w:szCs w:val="27"/>
          <w:u w:val="none" w:color="auto"/>
          <w:lang w:val="en-US" w:eastAsia="zh-CN"/>
        </w:rPr>
        <w:t>六</w:t>
      </w:r>
      <w:r>
        <w:rPr>
          <w:rFonts w:hint="eastAsia" w:ascii="kai_ti_gb2312" w:hAnsi="kai_ti_gb2312" w:eastAsia="kai_ti_gb2312" w:cs="kai_ti_gb2312"/>
          <w:b/>
          <w:bCs/>
          <w:i w:val="0"/>
          <w:iCs w:val="0"/>
          <w:color w:val="000000"/>
          <w:kern w:val="0"/>
          <w:sz w:val="27"/>
          <w:szCs w:val="27"/>
          <w:u w:val="none" w:color="auto"/>
        </w:rPr>
        <w:t>）住房保障支出（类）</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rPr>
        <w:t>   </w:t>
      </w:r>
      <w:r>
        <w:rPr>
          <w:rFonts w:hint="eastAsia" w:ascii="仿宋" w:hAnsi="仿宋" w:eastAsia="仿宋" w:cs="仿宋"/>
          <w:color w:val="000000"/>
          <w:kern w:val="0"/>
          <w:sz w:val="27"/>
          <w:szCs w:val="27"/>
          <w:u w:val="none" w:color="auto"/>
        </w:rPr>
        <w:t xml:space="preserve"> 住房保障支出（类）决算数为 46.38万元，与年初预算相比减少0.67万元。其中：</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1．住房改革支出（款）住房公积金（项）。年初预算</w:t>
      </w:r>
      <w:r>
        <w:rPr>
          <w:rFonts w:hint="eastAsia" w:ascii="仿宋" w:hAnsi="仿宋" w:eastAsia="仿宋" w:cs="仿宋"/>
          <w:color w:val="000000"/>
          <w:kern w:val="0"/>
          <w:sz w:val="27"/>
          <w:szCs w:val="27"/>
          <w:u w:val="none" w:color="auto"/>
          <w:lang w:val="en-US" w:eastAsia="zh-CN"/>
        </w:rPr>
        <w:t>47.05</w:t>
      </w:r>
      <w:r>
        <w:rPr>
          <w:rFonts w:hint="eastAsia" w:ascii="仿宋" w:hAnsi="仿宋" w:eastAsia="仿宋" w:cs="仿宋"/>
          <w:color w:val="000000"/>
          <w:kern w:val="0"/>
          <w:sz w:val="27"/>
          <w:szCs w:val="27"/>
          <w:u w:val="none" w:color="auto"/>
        </w:rPr>
        <w:t>万元，支出决算</w:t>
      </w:r>
      <w:r>
        <w:rPr>
          <w:rFonts w:hint="eastAsia" w:ascii="仿宋" w:hAnsi="仿宋" w:eastAsia="仿宋" w:cs="仿宋"/>
          <w:color w:val="000000"/>
          <w:kern w:val="0"/>
          <w:sz w:val="27"/>
          <w:szCs w:val="27"/>
          <w:u w:val="none" w:color="auto"/>
          <w:lang w:val="en-US" w:eastAsia="zh-CN"/>
        </w:rPr>
        <w:t>46.38</w:t>
      </w:r>
      <w:r>
        <w:rPr>
          <w:rFonts w:hint="eastAsia" w:ascii="仿宋" w:hAnsi="仿宋" w:eastAsia="仿宋" w:cs="仿宋"/>
          <w:color w:val="000000"/>
          <w:kern w:val="0"/>
          <w:sz w:val="27"/>
          <w:szCs w:val="27"/>
          <w:u w:val="none" w:color="auto"/>
        </w:rPr>
        <w:t>万元，完成年初预算的</w:t>
      </w:r>
      <w:r>
        <w:rPr>
          <w:rFonts w:hint="eastAsia" w:ascii="仿宋" w:hAnsi="仿宋" w:eastAsia="仿宋" w:cs="仿宋"/>
          <w:color w:val="000000"/>
          <w:kern w:val="0"/>
          <w:sz w:val="27"/>
          <w:szCs w:val="27"/>
          <w:u w:val="none" w:color="auto"/>
          <w:lang w:val="en-US" w:eastAsia="zh-CN"/>
        </w:rPr>
        <w:t>98.58</w:t>
      </w:r>
      <w:r>
        <w:rPr>
          <w:rFonts w:hint="eastAsia" w:ascii="仿宋" w:hAnsi="仿宋" w:eastAsia="仿宋" w:cs="仿宋"/>
          <w:color w:val="000000"/>
          <w:kern w:val="0"/>
          <w:sz w:val="27"/>
          <w:szCs w:val="27"/>
          <w:u w:val="none" w:color="auto"/>
        </w:rPr>
        <w:t>%。决算数与年初预算数的差异原因：</w:t>
      </w:r>
      <w:r>
        <w:rPr>
          <w:rFonts w:hint="eastAsia" w:ascii="仿宋" w:hAnsi="仿宋" w:eastAsia="仿宋" w:cs="仿宋"/>
          <w:color w:val="000000"/>
          <w:kern w:val="0"/>
          <w:sz w:val="27"/>
          <w:szCs w:val="27"/>
          <w:u w:val="none" w:color="auto"/>
          <w:lang w:val="en-US" w:eastAsia="zh-CN"/>
        </w:rPr>
        <w:t>本年到龄退休一名工作人员</w:t>
      </w:r>
      <w:r>
        <w:rPr>
          <w:rFonts w:hint="eastAsia" w:ascii="仿宋" w:hAnsi="仿宋" w:eastAsia="仿宋" w:cs="仿宋"/>
          <w:color w:val="000000"/>
          <w:kern w:val="0"/>
          <w:sz w:val="27"/>
          <w:szCs w:val="27"/>
          <w:u w:val="none" w:color="auto"/>
        </w:rPr>
        <w:t>。</w:t>
      </w:r>
    </w:p>
    <w:p>
      <w:pPr>
        <w:widowControl/>
        <w:spacing w:before="240" w:after="240"/>
        <w:ind w:firstLine="542" w:firstLineChars="200"/>
        <w:jc w:val="left"/>
        <w:rPr>
          <w:rFonts w:ascii="Times New Roman" w:hAnsi="Times New Roman" w:eastAsia="Times New Roman" w:cs="Times New Roman"/>
          <w:kern w:val="0"/>
          <w:sz w:val="24"/>
        </w:rPr>
      </w:pPr>
      <w:r>
        <w:rPr>
          <w:rFonts w:ascii="黑体" w:hAnsi="黑体" w:eastAsia="黑体" w:cs="黑体"/>
          <w:b/>
          <w:bCs/>
          <w:kern w:val="0"/>
          <w:sz w:val="27"/>
          <w:szCs w:val="27"/>
        </w:rPr>
        <w:t>六、一般公共预算财政拨款基本支出决算情况说明</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ascii="仿宋_GB2312" w:hAnsi="仿宋_GB2312" w:eastAsia="仿宋_GB2312" w:cs="仿宋_GB2312"/>
          <w:kern w:val="0"/>
          <w:sz w:val="27"/>
          <w:szCs w:val="27"/>
        </w:rPr>
        <w:t xml:space="preserve">  </w:t>
      </w:r>
      <w:r>
        <w:rPr>
          <w:rFonts w:hint="eastAsia" w:ascii="仿宋" w:hAnsi="仿宋" w:eastAsia="仿宋" w:cs="仿宋"/>
          <w:kern w:val="0"/>
          <w:sz w:val="27"/>
          <w:szCs w:val="27"/>
          <w:u w:val="none" w:color="auto"/>
        </w:rPr>
        <w:t xml:space="preserve">  </w:t>
      </w:r>
      <w:r>
        <w:rPr>
          <w:rFonts w:hint="eastAsia" w:ascii="仿宋" w:hAnsi="仿宋" w:eastAsia="仿宋" w:cs="仿宋"/>
          <w:color w:val="000000"/>
          <w:kern w:val="0"/>
          <w:sz w:val="27"/>
          <w:szCs w:val="27"/>
          <w:u w:val="none" w:color="auto"/>
        </w:rPr>
        <w:t>内蒙古自治区巴彦淖尔市住房和城乡建设局(本级) 2024年度一般公共预算财政拨款基本支出决算 821.22万元，其中：</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hint="eastAsia" w:ascii="仿宋" w:hAnsi="仿宋" w:eastAsia="仿宋" w:cs="仿宋"/>
          <w:b/>
          <w:bCs/>
          <w:color w:val="000000"/>
          <w:kern w:val="0"/>
          <w:sz w:val="27"/>
          <w:szCs w:val="27"/>
          <w:u w:val="none" w:color="auto"/>
        </w:rPr>
        <w:t>    （一）人员经费</w:t>
      </w:r>
      <w:r>
        <w:rPr>
          <w:rFonts w:hint="eastAsia" w:ascii="仿宋" w:hAnsi="仿宋" w:eastAsia="仿宋" w:cs="仿宋"/>
          <w:color w:val="000000"/>
          <w:kern w:val="0"/>
          <w:sz w:val="27"/>
          <w:szCs w:val="27"/>
          <w:u w:val="none" w:color="auto"/>
        </w:rPr>
        <w:t> 751.96</w:t>
      </w:r>
      <w:r>
        <w:rPr>
          <w:rFonts w:hint="eastAsia" w:ascii="仿宋" w:hAnsi="仿宋" w:eastAsia="仿宋" w:cs="仿宋"/>
          <w:b/>
          <w:bCs/>
          <w:color w:val="000000"/>
          <w:kern w:val="0"/>
          <w:sz w:val="27"/>
          <w:szCs w:val="27"/>
          <w:u w:val="none" w:color="auto"/>
        </w:rPr>
        <w:t>万元</w:t>
      </w:r>
      <w:r>
        <w:rPr>
          <w:rFonts w:hint="eastAsia" w:ascii="仿宋" w:hAnsi="仿宋" w:eastAsia="仿宋" w:cs="仿宋"/>
          <w:color w:val="000000"/>
          <w:kern w:val="0"/>
          <w:sz w:val="27"/>
          <w:szCs w:val="27"/>
          <w:u w:val="none" w:color="auto"/>
        </w:rPr>
        <w:t>。主要包括：基本工资、津贴补贴、奖金、机关事业单位基本养老保险缴费、职业年金缴费、职工基本医疗保险缴费、公务员医疗补助缴费、其他社会保障缴费</w:t>
      </w:r>
      <w:r>
        <w:rPr>
          <w:rFonts w:hint="eastAsia" w:ascii="仿宋" w:hAnsi="仿宋" w:eastAsia="仿宋" w:cs="仿宋"/>
          <w:color w:val="000000"/>
          <w:kern w:val="0"/>
          <w:sz w:val="27"/>
          <w:szCs w:val="27"/>
          <w:u w:val="none" w:color="auto"/>
          <w:lang w:eastAsia="zh-CN"/>
        </w:rPr>
        <w:t>、</w:t>
      </w:r>
      <w:r>
        <w:rPr>
          <w:rFonts w:hint="eastAsia" w:ascii="仿宋" w:hAnsi="仿宋" w:eastAsia="仿宋" w:cs="仿宋"/>
          <w:color w:val="000000"/>
          <w:kern w:val="0"/>
          <w:sz w:val="27"/>
          <w:szCs w:val="27"/>
          <w:u w:val="none" w:color="auto"/>
        </w:rPr>
        <w:t>住房公积金、其他工资福利支出、离休费、退休费、抚恤金、生活补助。</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rPr>
      </w:pPr>
      <w:r>
        <w:rPr>
          <w:rFonts w:hint="eastAsia" w:ascii="仿宋" w:hAnsi="仿宋" w:eastAsia="仿宋" w:cs="仿宋"/>
          <w:b/>
          <w:bCs/>
          <w:color w:val="000000"/>
          <w:kern w:val="0"/>
          <w:sz w:val="27"/>
          <w:szCs w:val="27"/>
          <w:u w:val="none" w:color="auto"/>
        </w:rPr>
        <w:t>    （二）公用经费</w:t>
      </w:r>
      <w:r>
        <w:rPr>
          <w:rFonts w:hint="eastAsia" w:ascii="仿宋" w:hAnsi="仿宋" w:eastAsia="仿宋" w:cs="仿宋"/>
          <w:color w:val="000000"/>
          <w:kern w:val="0"/>
          <w:sz w:val="27"/>
          <w:szCs w:val="27"/>
          <w:u w:val="none" w:color="auto"/>
        </w:rPr>
        <w:t> 69.26</w:t>
      </w:r>
      <w:r>
        <w:rPr>
          <w:rFonts w:hint="eastAsia" w:ascii="仿宋" w:hAnsi="仿宋" w:eastAsia="仿宋" w:cs="仿宋"/>
          <w:b/>
          <w:bCs/>
          <w:color w:val="000000"/>
          <w:kern w:val="0"/>
          <w:sz w:val="27"/>
          <w:szCs w:val="27"/>
          <w:u w:val="none" w:color="auto"/>
        </w:rPr>
        <w:t>万元</w:t>
      </w:r>
      <w:r>
        <w:rPr>
          <w:rFonts w:hint="eastAsia" w:ascii="仿宋" w:hAnsi="仿宋" w:eastAsia="仿宋" w:cs="仿宋"/>
          <w:color w:val="000000"/>
          <w:kern w:val="0"/>
          <w:sz w:val="27"/>
          <w:szCs w:val="27"/>
          <w:u w:val="none" w:color="auto"/>
        </w:rPr>
        <w:t>。主要包括：办公费、水费、电费</w:t>
      </w:r>
      <w:r>
        <w:rPr>
          <w:rFonts w:hint="eastAsia" w:ascii="仿宋" w:hAnsi="仿宋" w:eastAsia="仿宋" w:cs="仿宋"/>
          <w:color w:val="000000"/>
          <w:kern w:val="0"/>
          <w:sz w:val="27"/>
          <w:szCs w:val="27"/>
          <w:u w:val="none" w:color="auto"/>
          <w:lang w:eastAsia="zh-CN"/>
        </w:rPr>
        <w:t>、</w:t>
      </w:r>
      <w:r>
        <w:rPr>
          <w:rFonts w:hint="eastAsia" w:ascii="仿宋" w:hAnsi="仿宋" w:eastAsia="仿宋" w:cs="仿宋"/>
          <w:color w:val="000000"/>
          <w:kern w:val="0"/>
          <w:sz w:val="27"/>
          <w:szCs w:val="27"/>
          <w:u w:val="none" w:color="auto"/>
        </w:rPr>
        <w:t>取暖费、物业管理费、差旅费、公务接待费、工会经费、福利费、公务用车运行维护费、其他交通费用、其他商品和服务支出、办公设备购置。</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七、一般公共预算财政拨款项目支出决算情况说明</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ascii="仿宋_GB2312" w:hAnsi="仿宋_GB2312" w:eastAsia="仿宋_GB2312" w:cs="仿宋_GB2312"/>
          <w:kern w:val="0"/>
          <w:sz w:val="27"/>
          <w:szCs w:val="27"/>
        </w:rPr>
        <w:t>   </w:t>
      </w:r>
      <w:r>
        <w:rPr>
          <w:rFonts w:hint="eastAsia" w:ascii="仿宋" w:hAnsi="仿宋" w:eastAsia="仿宋" w:cs="仿宋"/>
          <w:color w:val="000000"/>
          <w:kern w:val="0"/>
          <w:sz w:val="27"/>
          <w:szCs w:val="27"/>
          <w:u w:val="none" w:color="auto"/>
        </w:rPr>
        <w:t xml:space="preserve"> 内蒙古自治区巴彦淖尔市住房和城乡建设局(本级) 2024年度一般公共预算财政拨款项目支出决算 590.40万元，其中：</w:t>
      </w:r>
    </w:p>
    <w:p>
      <w:pPr>
        <w:keepNext w:val="0"/>
        <w:keepLines w:val="0"/>
        <w:pageBreakBefore w:val="0"/>
        <w:widowControl/>
        <w:numPr>
          <w:ilvl w:val="0"/>
          <w:numId w:val="0"/>
        </w:numPr>
        <w:kinsoku/>
        <w:wordWrap/>
        <w:overflowPunct/>
        <w:topLinePunct w:val="0"/>
        <w:autoSpaceDE/>
        <w:autoSpaceDN/>
        <w:bidi w:val="0"/>
        <w:adjustRightInd/>
        <w:snapToGrid/>
        <w:ind w:left="421" w:leftChars="0" w:firstLine="0" w:firstLineChars="0"/>
        <w:textAlignment w:val="auto"/>
        <w:rPr>
          <w:rFonts w:hint="eastAsia" w:ascii="仿宋" w:hAnsi="仿宋" w:eastAsia="仿宋" w:cs="仿宋"/>
          <w:color w:val="000000"/>
          <w:kern w:val="0"/>
          <w:sz w:val="27"/>
          <w:szCs w:val="27"/>
          <w:u w:val="none" w:color="auto"/>
        </w:rPr>
      </w:pPr>
      <w:r>
        <w:rPr>
          <w:rFonts w:hint="eastAsia" w:ascii="仿宋" w:hAnsi="仿宋" w:eastAsia="仿宋" w:cs="仿宋"/>
          <w:b/>
          <w:bCs/>
          <w:color w:val="000000"/>
          <w:kern w:val="0"/>
          <w:sz w:val="27"/>
          <w:szCs w:val="27"/>
          <w:u w:color="auto"/>
          <w:lang w:val="en-US" w:eastAsia="zh-CN" w:bidi="ar-SA"/>
        </w:rPr>
        <w:t>（一）</w:t>
      </w:r>
      <w:r>
        <w:rPr>
          <w:rFonts w:hint="eastAsia" w:ascii="仿宋" w:hAnsi="仿宋" w:eastAsia="仿宋" w:cs="仿宋"/>
          <w:b/>
          <w:bCs/>
          <w:color w:val="000000"/>
          <w:kern w:val="0"/>
          <w:sz w:val="27"/>
          <w:szCs w:val="27"/>
          <w:u w:val="none" w:color="auto"/>
        </w:rPr>
        <w:t>工资福利支出</w:t>
      </w:r>
      <w:r>
        <w:rPr>
          <w:rFonts w:hint="eastAsia" w:ascii="仿宋" w:hAnsi="仿宋" w:eastAsia="仿宋" w:cs="仿宋"/>
          <w:color w:val="000000"/>
          <w:kern w:val="0"/>
          <w:sz w:val="27"/>
          <w:szCs w:val="27"/>
          <w:u w:val="none" w:color="auto"/>
        </w:rPr>
        <w:t xml:space="preserve"> </w:t>
      </w:r>
      <w:r>
        <w:rPr>
          <w:rFonts w:hint="eastAsia" w:ascii="仿宋" w:hAnsi="仿宋" w:eastAsia="仿宋" w:cs="仿宋"/>
          <w:b/>
          <w:bCs/>
          <w:color w:val="000000"/>
          <w:kern w:val="0"/>
          <w:sz w:val="27"/>
          <w:szCs w:val="27"/>
          <w:u w:val="none" w:color="auto"/>
        </w:rPr>
        <w:t>0</w:t>
      </w:r>
      <w:r>
        <w:rPr>
          <w:rFonts w:hint="eastAsia" w:ascii="仿宋" w:hAnsi="仿宋" w:eastAsia="仿宋" w:cs="仿宋"/>
          <w:color w:val="000000"/>
          <w:kern w:val="0"/>
          <w:sz w:val="27"/>
          <w:szCs w:val="27"/>
          <w:u w:val="none" w:color="auto"/>
        </w:rPr>
        <w:t>万元。</w:t>
      </w:r>
    </w:p>
    <w:p>
      <w:pPr>
        <w:keepNext w:val="0"/>
        <w:keepLines w:val="0"/>
        <w:pageBreakBefore w:val="0"/>
        <w:widowControl/>
        <w:numPr>
          <w:ilvl w:val="0"/>
          <w:numId w:val="0"/>
        </w:numPr>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hint="eastAsia" w:ascii="仿宋" w:hAnsi="仿宋" w:eastAsia="仿宋" w:cs="仿宋"/>
          <w:b/>
          <w:bCs/>
          <w:color w:val="000000"/>
          <w:kern w:val="0"/>
          <w:sz w:val="27"/>
          <w:szCs w:val="27"/>
          <w:u w:val="none" w:color="auto"/>
        </w:rPr>
        <w:t>    （二）商品和服务支出 442.96</w:t>
      </w:r>
      <w:r>
        <w:rPr>
          <w:rFonts w:hint="eastAsia" w:ascii="仿宋" w:hAnsi="仿宋" w:eastAsia="仿宋" w:cs="仿宋"/>
          <w:color w:val="000000"/>
          <w:kern w:val="0"/>
          <w:sz w:val="27"/>
          <w:szCs w:val="27"/>
          <w:u w:val="none" w:color="auto"/>
        </w:rPr>
        <w:t>万元。主要包括：办公费、印刷费、邮电费、差旅费、维修（护）费、租赁费、培训费、劳务费、委托业务费、其他交通费用。</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hint="eastAsia" w:ascii="仿宋" w:hAnsi="仿宋" w:eastAsia="仿宋" w:cs="仿宋"/>
          <w:b/>
          <w:bCs/>
          <w:color w:val="000000"/>
          <w:kern w:val="0"/>
          <w:sz w:val="27"/>
          <w:szCs w:val="27"/>
          <w:u w:val="none" w:color="auto"/>
        </w:rPr>
        <w:t>    （三）资本性支出 10.26万元。</w:t>
      </w:r>
      <w:r>
        <w:rPr>
          <w:rFonts w:hint="eastAsia" w:ascii="仿宋" w:hAnsi="仿宋" w:eastAsia="仿宋" w:cs="仿宋"/>
          <w:color w:val="000000"/>
          <w:kern w:val="0"/>
          <w:sz w:val="27"/>
          <w:szCs w:val="27"/>
          <w:u w:val="none" w:color="auto"/>
        </w:rPr>
        <w:t>主要包括：办公设备购置。</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rPr>
      </w:pPr>
      <w:r>
        <w:rPr>
          <w:rFonts w:hint="eastAsia" w:ascii="仿宋" w:hAnsi="仿宋" w:eastAsia="仿宋" w:cs="仿宋"/>
          <w:kern w:val="0"/>
          <w:sz w:val="27"/>
          <w:szCs w:val="27"/>
          <w:u w:val="none" w:color="auto"/>
        </w:rPr>
        <w:t xml:space="preserve">  </w:t>
      </w:r>
      <w:r>
        <w:rPr>
          <w:rFonts w:hint="eastAsia" w:ascii="仿宋" w:hAnsi="仿宋" w:eastAsia="仿宋" w:cs="仿宋"/>
          <w:kern w:val="0"/>
          <w:sz w:val="27"/>
          <w:szCs w:val="27"/>
          <w:u w:val="none" w:color="auto"/>
          <w:lang w:val="en-US" w:eastAsia="zh-CN"/>
        </w:rPr>
        <w:t xml:space="preserve">  </w:t>
      </w:r>
      <w:r>
        <w:rPr>
          <w:rFonts w:hint="eastAsia" w:ascii="仿宋" w:hAnsi="仿宋" w:eastAsia="仿宋" w:cs="仿宋"/>
          <w:b/>
          <w:bCs/>
          <w:color w:val="000000"/>
          <w:kern w:val="0"/>
          <w:sz w:val="27"/>
          <w:szCs w:val="27"/>
          <w:u w:val="none" w:color="auto"/>
        </w:rPr>
        <w:t>（</w:t>
      </w:r>
      <w:r>
        <w:rPr>
          <w:rFonts w:hint="eastAsia" w:ascii="仿宋" w:hAnsi="仿宋" w:eastAsia="仿宋" w:cs="仿宋"/>
          <w:b/>
          <w:bCs/>
          <w:color w:val="000000"/>
          <w:kern w:val="0"/>
          <w:sz w:val="27"/>
          <w:szCs w:val="27"/>
          <w:u w:val="none" w:color="auto"/>
          <w:lang w:val="en-US" w:eastAsia="zh-CN"/>
        </w:rPr>
        <w:t>四</w:t>
      </w:r>
      <w:r>
        <w:rPr>
          <w:rFonts w:hint="eastAsia" w:ascii="仿宋" w:hAnsi="仿宋" w:eastAsia="仿宋" w:cs="仿宋"/>
          <w:b/>
          <w:bCs/>
          <w:color w:val="000000"/>
          <w:kern w:val="0"/>
          <w:sz w:val="27"/>
          <w:szCs w:val="27"/>
          <w:u w:val="none" w:color="auto"/>
        </w:rPr>
        <w:t>）资本性支出（基本建设）</w:t>
      </w:r>
      <w:r>
        <w:rPr>
          <w:rFonts w:hint="eastAsia" w:ascii="仿宋" w:hAnsi="仿宋" w:eastAsia="仿宋" w:cs="仿宋"/>
          <w:b/>
          <w:bCs/>
          <w:color w:val="000000"/>
          <w:kern w:val="0"/>
          <w:sz w:val="27"/>
          <w:szCs w:val="27"/>
          <w:u w:val="none" w:color="auto"/>
          <w:lang w:val="en-US" w:eastAsia="zh-CN"/>
        </w:rPr>
        <w:t>137.19万元。</w:t>
      </w:r>
      <w:r>
        <w:rPr>
          <w:rFonts w:hint="eastAsia" w:ascii="仿宋" w:hAnsi="仿宋" w:eastAsia="仿宋" w:cs="仿宋"/>
          <w:b w:val="0"/>
          <w:bCs w:val="0"/>
          <w:color w:val="000000"/>
          <w:kern w:val="0"/>
          <w:sz w:val="27"/>
          <w:szCs w:val="27"/>
          <w:u w:val="none" w:color="auto"/>
          <w:lang w:val="en-US" w:eastAsia="zh-CN"/>
        </w:rPr>
        <w:t>主要包括：</w:t>
      </w:r>
      <w:r>
        <w:rPr>
          <w:rFonts w:hint="eastAsia" w:ascii="仿宋" w:hAnsi="仿宋" w:eastAsia="仿宋" w:cs="仿宋"/>
          <w:color w:val="000000"/>
          <w:kern w:val="0"/>
          <w:sz w:val="27"/>
          <w:szCs w:val="27"/>
          <w:u w:val="none" w:color="auto"/>
        </w:rPr>
        <w:t>基础设施建设</w:t>
      </w:r>
      <w:r>
        <w:rPr>
          <w:rFonts w:hint="eastAsia" w:ascii="仿宋" w:hAnsi="仿宋" w:eastAsia="仿宋" w:cs="仿宋"/>
          <w:color w:val="000000"/>
          <w:kern w:val="0"/>
          <w:sz w:val="27"/>
          <w:szCs w:val="27"/>
          <w:u w:val="none" w:color="auto"/>
          <w:lang w:eastAsia="zh-CN"/>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八、财政拨款“三公”经费支出决算情况说明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（一）财政拨款“三公”经费支出总体情况说明。</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ascii="仿宋_GB2312" w:hAnsi="仿宋_GB2312" w:eastAsia="仿宋_GB2312" w:cs="仿宋_GB2312"/>
          <w:kern w:val="0"/>
          <w:sz w:val="27"/>
          <w:szCs w:val="27"/>
        </w:rPr>
        <w:t xml:space="preserve">    </w:t>
      </w:r>
      <w:r>
        <w:rPr>
          <w:rFonts w:hint="eastAsia" w:ascii="仿宋" w:hAnsi="仿宋" w:eastAsia="仿宋" w:cs="仿宋"/>
          <w:color w:val="000000"/>
          <w:kern w:val="0"/>
          <w:sz w:val="27"/>
          <w:szCs w:val="27"/>
          <w:u w:val="none" w:color="auto"/>
        </w:rPr>
        <w:t>内蒙古自治区巴彦淖尔市住房和城乡建设局(本级) 2024年度财政拨款“三公”经费全年预算 8.00万元，支出决算 6.29万元，完成预算的 78.57%。其中：因公出国（境）费全年预算 0万元，支出决算 0万元，完成预算的 0%；公务用车购置及运行维护费全年预算 3.00万元，支出决算 3.00万元，完成预算的 99.97%；公务接待费全年预算 5.00万元，支出决算 3.29万元，完成预算的 65.72%。2024年度一般公共预算财政拨款“三公”经费全年预算 8.00万元，支出决算 6.29万元，与预算差异原因</w:t>
      </w:r>
      <w:r>
        <w:rPr>
          <w:rFonts w:hint="eastAsia" w:ascii="仿宋" w:hAnsi="仿宋" w:eastAsia="仿宋" w:cs="仿宋"/>
          <w:color w:val="000000"/>
          <w:kern w:val="0"/>
          <w:sz w:val="27"/>
          <w:szCs w:val="27"/>
          <w:u w:val="none" w:color="auto"/>
          <w:lang w:eastAsia="zh-CN"/>
        </w:rPr>
        <w:t>：</w:t>
      </w:r>
      <w:r>
        <w:rPr>
          <w:rFonts w:hint="eastAsia" w:ascii="仿宋" w:hAnsi="仿宋" w:eastAsia="仿宋" w:cs="仿宋"/>
          <w:color w:val="000000"/>
          <w:kern w:val="0"/>
          <w:sz w:val="27"/>
          <w:szCs w:val="27"/>
          <w:u w:val="none" w:color="auto"/>
          <w:lang w:val="en-US" w:eastAsia="zh-CN"/>
        </w:rPr>
        <w:t>本年接待次数较上年减少，故</w:t>
      </w:r>
      <w:r>
        <w:rPr>
          <w:rFonts w:hint="eastAsia" w:ascii="仿宋" w:hAnsi="仿宋" w:eastAsia="仿宋" w:cs="仿宋"/>
          <w:color w:val="000000"/>
          <w:kern w:val="0"/>
          <w:sz w:val="27"/>
          <w:szCs w:val="27"/>
          <w:u w:val="none" w:color="auto"/>
        </w:rPr>
        <w:t>公务接待费</w:t>
      </w:r>
      <w:r>
        <w:rPr>
          <w:rFonts w:hint="eastAsia" w:ascii="仿宋" w:hAnsi="仿宋" w:eastAsia="仿宋" w:cs="仿宋"/>
          <w:color w:val="000000"/>
          <w:kern w:val="0"/>
          <w:sz w:val="27"/>
          <w:szCs w:val="27"/>
          <w:u w:val="none" w:color="auto"/>
          <w:lang w:val="en-US" w:eastAsia="zh-CN"/>
        </w:rPr>
        <w:t>用减少，决算数小于预算数</w:t>
      </w:r>
      <w:r>
        <w:rPr>
          <w:rFonts w:hint="eastAsia" w:ascii="仿宋" w:hAnsi="仿宋" w:eastAsia="仿宋" w:cs="仿宋"/>
          <w:color w:val="000000"/>
          <w:kern w:val="0"/>
          <w:sz w:val="27"/>
          <w:szCs w:val="27"/>
          <w:u w:val="none" w:color="auto"/>
        </w:rPr>
        <w:t>。</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（二）财政拨款“三公”经费支出具体情况说明。</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ascii="仿宋_GB2312" w:hAnsi="仿宋_GB2312" w:eastAsia="仿宋_GB2312" w:cs="仿宋_GB2312"/>
          <w:kern w:val="0"/>
          <w:sz w:val="27"/>
          <w:szCs w:val="27"/>
        </w:rPr>
        <w:t>   </w:t>
      </w:r>
      <w:r>
        <w:rPr>
          <w:rFonts w:hint="eastAsia" w:ascii="仿宋" w:hAnsi="仿宋" w:eastAsia="仿宋" w:cs="仿宋"/>
          <w:kern w:val="0"/>
          <w:sz w:val="27"/>
          <w:szCs w:val="27"/>
          <w:u w:val="none" w:color="auto"/>
        </w:rPr>
        <w:t xml:space="preserve"> </w:t>
      </w:r>
      <w:r>
        <w:rPr>
          <w:rFonts w:hint="eastAsia" w:ascii="仿宋" w:hAnsi="仿宋" w:eastAsia="仿宋" w:cs="仿宋"/>
          <w:color w:val="000000"/>
          <w:kern w:val="0"/>
          <w:sz w:val="27"/>
          <w:szCs w:val="27"/>
          <w:u w:val="none" w:color="auto"/>
        </w:rPr>
        <w:t>内蒙古自治区巴彦淖尔市住房和城乡建设局(本级) 2024年度财政拨款“三公”经费支出 6.29万元。因公出国（境）费支出 0万元，占 0%；公务用车购置及运行维护费支出 3.00万元，占 47.72%；公务接待费支出 3.29万元，占 52.28%。其中：</w:t>
      </w:r>
    </w:p>
    <w:p>
      <w:pPr>
        <w:keepNext w:val="0"/>
        <w:keepLines w:val="0"/>
        <w:pageBreakBefore w:val="0"/>
        <w:widowControl/>
        <w:numPr>
          <w:ilvl w:val="0"/>
          <w:numId w:val="2"/>
        </w:numPr>
        <w:kinsoku/>
        <w:wordWrap/>
        <w:overflowPunct/>
        <w:topLinePunct w:val="0"/>
        <w:autoSpaceDE/>
        <w:autoSpaceDN/>
        <w:bidi w:val="0"/>
        <w:adjustRightInd/>
        <w:snapToGrid/>
        <w:ind w:left="360" w:leftChars="0" w:firstLine="0" w:firstLineChars="0"/>
        <w:textAlignment w:val="auto"/>
        <w:rPr>
          <w:rFonts w:hint="eastAsia" w:ascii="仿宋" w:hAnsi="仿宋" w:eastAsia="仿宋" w:cs="仿宋"/>
          <w:color w:val="000000"/>
          <w:kern w:val="0"/>
          <w:sz w:val="27"/>
          <w:szCs w:val="27"/>
          <w:u w:val="none" w:color="auto"/>
        </w:rPr>
      </w:pPr>
      <w:r>
        <w:rPr>
          <w:rFonts w:hint="eastAsia" w:ascii="仿宋" w:hAnsi="仿宋" w:eastAsia="仿宋" w:cs="仿宋"/>
          <w:color w:val="000000"/>
          <w:kern w:val="0"/>
          <w:sz w:val="27"/>
          <w:szCs w:val="27"/>
          <w:u w:val="none" w:color="auto"/>
        </w:rPr>
        <w:t>因公出国（境）费支出 0万元，全年出国（境）团组0 个，累计0 人次。与上年决算相比，增加（减少） 0万元，增长（下降） 0%，变动原因：</w:t>
      </w:r>
      <w:r>
        <w:rPr>
          <w:rFonts w:hint="eastAsia" w:ascii="仿宋" w:hAnsi="仿宋" w:eastAsia="仿宋" w:cs="仿宋"/>
          <w:color w:val="000000"/>
          <w:kern w:val="0"/>
          <w:sz w:val="27"/>
          <w:szCs w:val="27"/>
          <w:u w:val="none" w:color="auto"/>
          <w:lang w:val="en-US" w:eastAsia="zh-CN"/>
        </w:rPr>
        <w:t>无变动</w:t>
      </w:r>
      <w:r>
        <w:rPr>
          <w:rFonts w:hint="eastAsia" w:ascii="仿宋" w:hAnsi="仿宋" w:eastAsia="仿宋" w:cs="仿宋"/>
          <w:color w:val="000000"/>
          <w:kern w:val="0"/>
          <w:sz w:val="27"/>
          <w:szCs w:val="27"/>
          <w:u w:val="none" w:color="auto"/>
        </w:rPr>
        <w:t>。</w:t>
      </w:r>
    </w:p>
    <w:p>
      <w:pPr>
        <w:keepNext w:val="0"/>
        <w:keepLines w:val="0"/>
        <w:pageBreakBefore w:val="0"/>
        <w:widowControl/>
        <w:numPr>
          <w:ilvl w:val="0"/>
          <w:numId w:val="0"/>
        </w:numPr>
        <w:kinsoku/>
        <w:wordWrap/>
        <w:overflowPunct/>
        <w:topLinePunct w:val="0"/>
        <w:autoSpaceDE/>
        <w:autoSpaceDN/>
        <w:bidi w:val="0"/>
        <w:adjustRightInd/>
        <w:snapToGrid/>
        <w:ind w:left="360" w:leftChars="0"/>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2.公务用车购置及运行维护费支出 3.00万元。其中：</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（1）公务用车购置支出 0万元。本年度使用财政拨款购置公务用车0 辆，开支内容：</w:t>
      </w:r>
      <w:r>
        <w:rPr>
          <w:rFonts w:hint="eastAsia" w:ascii="仿宋" w:hAnsi="仿宋" w:eastAsia="仿宋" w:cs="仿宋"/>
          <w:color w:val="000000"/>
          <w:kern w:val="0"/>
          <w:sz w:val="27"/>
          <w:szCs w:val="27"/>
          <w:u w:val="none" w:color="auto"/>
          <w:lang w:val="en-US" w:eastAsia="zh-CN"/>
        </w:rPr>
        <w:t>无</w:t>
      </w:r>
      <w:r>
        <w:rPr>
          <w:rFonts w:hint="eastAsia" w:ascii="仿宋" w:hAnsi="仿宋" w:eastAsia="仿宋" w:cs="仿宋"/>
          <w:color w:val="000000"/>
          <w:kern w:val="0"/>
          <w:sz w:val="27"/>
          <w:szCs w:val="27"/>
          <w:u w:val="none" w:color="auto"/>
        </w:rPr>
        <w:t>。与上年决算相比，增加（减少） 0万元，增长（下降） 0%，变动原因：</w:t>
      </w:r>
      <w:r>
        <w:rPr>
          <w:rFonts w:hint="eastAsia" w:ascii="仿宋" w:hAnsi="仿宋" w:eastAsia="仿宋" w:cs="仿宋"/>
          <w:color w:val="000000"/>
          <w:kern w:val="0"/>
          <w:sz w:val="27"/>
          <w:szCs w:val="27"/>
          <w:u w:val="none" w:color="auto"/>
          <w:lang w:val="en-US" w:eastAsia="zh-CN"/>
        </w:rPr>
        <w:t>无变动</w:t>
      </w:r>
      <w:r>
        <w:rPr>
          <w:rFonts w:hint="eastAsia" w:ascii="仿宋" w:hAnsi="仿宋" w:eastAsia="仿宋" w:cs="仿宋"/>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    （2）公务用车运行维护费支出 3.00万元。公务用车运行维护费主要用于按规定保留的公务用车的燃料费、维修费、过桥过路费、保险费、安全奖励费用等支出。截至2024年12月31日，使用财政拨款开支的公务用车保有量为2 辆。与上年决算相比，增加（减少）0.00万元，下降0.03%，变动原因：</w:t>
      </w:r>
      <w:r>
        <w:rPr>
          <w:rFonts w:hint="eastAsia" w:ascii="仿宋" w:hAnsi="仿宋" w:eastAsia="仿宋" w:cs="仿宋"/>
          <w:color w:val="000000"/>
          <w:kern w:val="0"/>
          <w:sz w:val="27"/>
          <w:szCs w:val="27"/>
          <w:u w:val="none" w:color="auto"/>
          <w:lang w:val="en-US" w:eastAsia="zh-CN"/>
        </w:rPr>
        <w:t>无变动</w:t>
      </w:r>
      <w:r>
        <w:rPr>
          <w:rFonts w:hint="eastAsia" w:ascii="仿宋" w:hAnsi="仿宋" w:eastAsia="仿宋" w:cs="仿宋"/>
          <w:color w:val="000000"/>
          <w:kern w:val="0"/>
          <w:sz w:val="27"/>
          <w:szCs w:val="27"/>
          <w:u w:val="none" w:color="auto"/>
        </w:rPr>
        <w:t>。</w:t>
      </w:r>
    </w:p>
    <w:p>
      <w:pPr>
        <w:keepNext w:val="0"/>
        <w:keepLines w:val="0"/>
        <w:pageBreakBefore w:val="0"/>
        <w:widowControl/>
        <w:kinsoku/>
        <w:wordWrap/>
        <w:overflowPunct/>
        <w:topLinePunct w:val="0"/>
        <w:autoSpaceDE/>
        <w:autoSpaceDN/>
        <w:bidi w:val="0"/>
        <w:adjustRightInd/>
        <w:snapToGrid/>
        <w:textAlignment w:val="auto"/>
        <w:rPr>
          <w:rFonts w:ascii="Times New Roman" w:hAnsi="Times New Roman" w:eastAsia="Times New Roman" w:cs="Times New Roman"/>
          <w:kern w:val="0"/>
          <w:sz w:val="24"/>
        </w:rPr>
      </w:pPr>
      <w:r>
        <w:rPr>
          <w:rFonts w:hint="eastAsia" w:ascii="仿宋" w:hAnsi="仿宋" w:eastAsia="仿宋" w:cs="仿宋"/>
          <w:color w:val="000000"/>
          <w:kern w:val="0"/>
          <w:sz w:val="27"/>
          <w:szCs w:val="27"/>
          <w:u w:val="none" w:color="auto"/>
        </w:rPr>
        <w:t>    3.公务接待费支出 3.29万元。其中：国内公务接待支出 3.29万元，接待42 批次，300 人次，开支内容：</w:t>
      </w:r>
      <w:r>
        <w:rPr>
          <w:rFonts w:hint="eastAsia" w:ascii="仿宋" w:hAnsi="仿宋" w:eastAsia="仿宋" w:cs="仿宋"/>
          <w:color w:val="000000"/>
          <w:kern w:val="0"/>
          <w:sz w:val="27"/>
          <w:szCs w:val="27"/>
          <w:u w:val="none" w:color="auto"/>
          <w:lang w:val="en-US" w:eastAsia="zh-CN"/>
        </w:rPr>
        <w:t>主要为上级部门由于工作任务到我单位产生的接待事项</w:t>
      </w:r>
      <w:r>
        <w:rPr>
          <w:rFonts w:hint="eastAsia" w:ascii="仿宋" w:hAnsi="仿宋" w:eastAsia="仿宋" w:cs="仿宋"/>
          <w:color w:val="000000"/>
          <w:kern w:val="0"/>
          <w:sz w:val="27"/>
          <w:szCs w:val="27"/>
          <w:u w:val="none" w:color="auto"/>
        </w:rPr>
        <w:t>；国（境）外公务接待支出 0万元，接待0 批次，0 人次，开支内容：</w:t>
      </w:r>
      <w:r>
        <w:rPr>
          <w:rFonts w:hint="eastAsia" w:ascii="仿宋" w:hAnsi="仿宋" w:eastAsia="仿宋" w:cs="仿宋"/>
          <w:color w:val="000000"/>
          <w:kern w:val="0"/>
          <w:sz w:val="27"/>
          <w:szCs w:val="27"/>
          <w:u w:val="none" w:color="auto"/>
          <w:lang w:val="en-US" w:eastAsia="zh-CN"/>
        </w:rPr>
        <w:t>无</w:t>
      </w:r>
      <w:r>
        <w:rPr>
          <w:rFonts w:hint="eastAsia" w:ascii="仿宋" w:hAnsi="仿宋" w:eastAsia="仿宋" w:cs="仿宋"/>
          <w:color w:val="000000"/>
          <w:kern w:val="0"/>
          <w:sz w:val="27"/>
          <w:szCs w:val="27"/>
          <w:u w:val="none" w:color="auto"/>
        </w:rPr>
        <w:t>。与上年决算相比，减少1.71万元，下降34.28%，变动原因：</w:t>
      </w:r>
      <w:r>
        <w:rPr>
          <w:rFonts w:hint="eastAsia" w:ascii="仿宋" w:hAnsi="仿宋" w:eastAsia="仿宋" w:cs="仿宋"/>
          <w:color w:val="000000"/>
          <w:kern w:val="0"/>
          <w:sz w:val="27"/>
          <w:szCs w:val="27"/>
          <w:u w:val="none" w:color="auto"/>
          <w:lang w:val="en-US" w:eastAsia="zh-CN"/>
        </w:rPr>
        <w:t>较上年相比，本年度接待任务减少，故费用减少</w:t>
      </w:r>
      <w:r>
        <w:rPr>
          <w:rFonts w:hint="eastAsia" w:ascii="仿宋" w:hAnsi="仿宋" w:eastAsia="仿宋" w:cs="仿宋"/>
          <w:color w:val="000000"/>
          <w:kern w:val="0"/>
          <w:sz w:val="27"/>
          <w:szCs w:val="27"/>
          <w:u w:val="none" w:color="auto"/>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九、政府性基金预算财政拨款支出决算情况说明</w:t>
      </w:r>
    </w:p>
    <w:p>
      <w:pPr>
        <w:widowControl/>
        <w:spacing w:before="240" w:after="240"/>
        <w:ind w:firstLine="540" w:firstLineChars="200"/>
        <w:rPr>
          <w:rFonts w:ascii="Times New Roman" w:hAnsi="Times New Roman" w:eastAsia="Times New Roman" w:cs="Times New Roman"/>
          <w:kern w:val="0"/>
          <w:sz w:val="24"/>
        </w:rPr>
      </w:pPr>
      <w:r>
        <w:rPr>
          <w:rFonts w:hint="eastAsia" w:ascii="仿宋" w:hAnsi="仿宋" w:eastAsia="仿宋" w:cs="仿宋"/>
          <w:color w:val="000000"/>
          <w:kern w:val="0"/>
          <w:sz w:val="27"/>
          <w:szCs w:val="27"/>
          <w:u w:val="none" w:color="auto"/>
        </w:rPr>
        <w:t>内蒙古自治区巴彦淖尔市住房和城乡建设局(本级) 2024年度政府性基金预算财政拨款支出决算 0万元。与上年决算相比，增加（减少） 0万元，增长（下降） 0%，变动原因：</w:t>
      </w:r>
      <w:r>
        <w:rPr>
          <w:rFonts w:hint="eastAsia" w:ascii="仿宋" w:hAnsi="仿宋" w:eastAsia="仿宋" w:cs="仿宋"/>
          <w:color w:val="000000"/>
          <w:kern w:val="0"/>
          <w:sz w:val="27"/>
          <w:szCs w:val="27"/>
          <w:u w:val="none" w:color="auto"/>
          <w:lang w:val="en-US" w:eastAsia="zh-CN"/>
        </w:rPr>
        <w:t>无变动</w:t>
      </w:r>
      <w:r>
        <w:rPr>
          <w:rFonts w:hint="eastAsia" w:ascii="仿宋" w:hAnsi="仿宋" w:eastAsia="仿宋" w:cs="仿宋"/>
          <w:color w:val="000000"/>
          <w:kern w:val="0"/>
          <w:sz w:val="27"/>
          <w:szCs w:val="27"/>
          <w:u w:val="none" w:color="auto"/>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十、国有资本经营预算财政拨款支出决算情况说明</w:t>
      </w:r>
    </w:p>
    <w:p>
      <w:pPr>
        <w:widowControl/>
        <w:spacing w:before="240" w:after="240"/>
        <w:ind w:firstLine="540" w:firstLineChars="200"/>
        <w:rPr>
          <w:rFonts w:hint="eastAsia" w:ascii="Times New Roman" w:hAnsi="Times New Roman" w:eastAsia="仿宋" w:cs="Times New Roman"/>
          <w:kern w:val="0"/>
          <w:sz w:val="24"/>
          <w:lang w:val="en-US" w:eastAsia="zh-CN"/>
        </w:rPr>
      </w:pPr>
      <w:r>
        <w:rPr>
          <w:rFonts w:hint="eastAsia" w:ascii="仿宋" w:hAnsi="仿宋" w:eastAsia="仿宋" w:cs="仿宋"/>
          <w:color w:val="000000"/>
          <w:kern w:val="0"/>
          <w:sz w:val="27"/>
          <w:szCs w:val="27"/>
          <w:u w:val="none" w:color="auto"/>
        </w:rPr>
        <w:t>内蒙古自治区巴彦淖尔市住房和城乡建设局(本级) 2024年度国有资本经营预算财政拨款支出决算 0万元。与上年决算相比，增加（减少） 0万元，增长（下降） 0%，变动原因：</w:t>
      </w:r>
      <w:r>
        <w:rPr>
          <w:rFonts w:hint="eastAsia" w:ascii="仿宋" w:hAnsi="仿宋" w:eastAsia="仿宋" w:cs="仿宋"/>
          <w:color w:val="000000"/>
          <w:kern w:val="0"/>
          <w:sz w:val="27"/>
          <w:szCs w:val="27"/>
          <w:u w:val="none" w:color="auto"/>
          <w:lang w:val="en-US" w:eastAsia="zh-CN"/>
        </w:rPr>
        <w:t>无变动。</w:t>
      </w:r>
    </w:p>
    <w:p>
      <w:pPr>
        <w:widowControl/>
        <w:spacing w:before="240" w:after="240"/>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十一、机关运行经费（公用经费）支出决算情况说明</w:t>
      </w:r>
    </w:p>
    <w:p>
      <w:pPr>
        <w:widowControl/>
        <w:spacing w:before="240" w:after="240"/>
        <w:rPr>
          <w:rFonts w:hint="eastAsia" w:ascii="仿宋" w:hAnsi="仿宋" w:eastAsia="仿宋" w:cs="仿宋"/>
          <w:kern w:val="0"/>
          <w:sz w:val="24"/>
          <w:u w:val="none" w:color="auto"/>
        </w:rPr>
      </w:pPr>
      <w:r>
        <w:rPr>
          <w:rFonts w:ascii="仿宋_GB2312" w:hAnsi="仿宋_GB2312" w:eastAsia="仿宋_GB2312" w:cs="仿宋_GB2312"/>
          <w:kern w:val="0"/>
          <w:sz w:val="27"/>
          <w:szCs w:val="27"/>
        </w:rPr>
        <w:t>   </w:t>
      </w:r>
      <w:r>
        <w:rPr>
          <w:rFonts w:hint="eastAsia" w:ascii="仿宋" w:hAnsi="仿宋" w:eastAsia="仿宋" w:cs="仿宋"/>
          <w:kern w:val="0"/>
          <w:sz w:val="27"/>
          <w:szCs w:val="27"/>
          <w:u w:val="none" w:color="auto"/>
        </w:rPr>
        <w:t xml:space="preserve"> </w:t>
      </w:r>
      <w:r>
        <w:rPr>
          <w:rFonts w:hint="eastAsia" w:ascii="仿宋" w:hAnsi="仿宋" w:eastAsia="仿宋" w:cs="仿宋"/>
          <w:color w:val="000000"/>
          <w:kern w:val="0"/>
          <w:sz w:val="27"/>
          <w:szCs w:val="27"/>
          <w:u w:val="none" w:color="auto"/>
        </w:rPr>
        <w:t>内蒙古自治区巴彦淖尔市住房和城乡建设局(本级) 2024年度公用经费支出决算 69.26万元，与上年决算相比，减少10.77万元，下降13.46%，变动原因：</w:t>
      </w:r>
      <w:r>
        <w:rPr>
          <w:rFonts w:hint="eastAsia" w:ascii="仿宋" w:hAnsi="仿宋" w:eastAsia="仿宋" w:cs="仿宋"/>
          <w:color w:val="000000"/>
          <w:kern w:val="0"/>
          <w:sz w:val="27"/>
          <w:szCs w:val="27"/>
          <w:u w:val="none" w:color="auto"/>
          <w:lang w:val="en-US" w:eastAsia="zh-CN"/>
        </w:rPr>
        <w:t>我单位职能减少，部分职能划转到其他单位</w:t>
      </w:r>
      <w:r>
        <w:rPr>
          <w:rFonts w:hint="eastAsia" w:ascii="仿宋" w:hAnsi="仿宋" w:eastAsia="仿宋" w:cs="仿宋"/>
          <w:color w:val="000000"/>
          <w:kern w:val="0"/>
          <w:sz w:val="27"/>
          <w:szCs w:val="27"/>
          <w:u w:val="none" w:color="auto"/>
        </w:rPr>
        <w:t>。其中，机关运行经费支出决算 69.26万元。比上年决算相比，减少10.77万元，下降13.46%，变动原因：</w:t>
      </w:r>
      <w:r>
        <w:rPr>
          <w:rFonts w:hint="eastAsia" w:ascii="仿宋" w:hAnsi="仿宋" w:eastAsia="仿宋" w:cs="仿宋"/>
          <w:color w:val="000000"/>
          <w:kern w:val="0"/>
          <w:sz w:val="27"/>
          <w:szCs w:val="27"/>
          <w:u w:val="none" w:color="auto"/>
          <w:lang w:val="en-US" w:eastAsia="zh-CN"/>
        </w:rPr>
        <w:t>我单位职能减少，部分职能划转到其他单位</w:t>
      </w:r>
      <w:r>
        <w:rPr>
          <w:rFonts w:hint="eastAsia" w:ascii="仿宋" w:hAnsi="仿宋" w:eastAsia="仿宋" w:cs="仿宋"/>
          <w:color w:val="000000"/>
          <w:kern w:val="0"/>
          <w:sz w:val="27"/>
          <w:szCs w:val="27"/>
          <w:u w:val="none" w:color="auto"/>
        </w:rPr>
        <w:t>。</w:t>
      </w:r>
    </w:p>
    <w:p>
      <w:pPr>
        <w:widowControl/>
        <w:spacing w:before="240" w:after="240"/>
        <w:rPr>
          <w:rFonts w:ascii="Times New Roman" w:hAnsi="Times New Roman" w:eastAsia="Times New Roman" w:cs="Times New Roman"/>
          <w:kern w:val="0"/>
          <w:sz w:val="24"/>
        </w:rPr>
      </w:pPr>
      <w:r>
        <w:rPr>
          <w:rFonts w:ascii="仿宋_GB2312" w:hAnsi="仿宋_GB2312" w:eastAsia="仿宋_GB2312" w:cs="仿宋_GB2312"/>
          <w:color w:val="1200FF"/>
          <w:kern w:val="0"/>
          <w:sz w:val="27"/>
          <w:szCs w:val="27"/>
        </w:rPr>
        <w:t>   </w:t>
      </w:r>
      <w:r>
        <w:rPr>
          <w:rFonts w:ascii="Calibri" w:hAnsi="Calibri" w:eastAsia="Calibri" w:cs="Calibri"/>
          <w:b/>
          <w:bCs/>
          <w:kern w:val="0"/>
          <w:sz w:val="27"/>
          <w:szCs w:val="27"/>
        </w:rPr>
        <w:t> </w:t>
      </w:r>
      <w:r>
        <w:rPr>
          <w:rFonts w:ascii="黑体" w:hAnsi="黑体" w:eastAsia="黑体" w:cs="黑体"/>
          <w:b/>
          <w:bCs/>
          <w:kern w:val="0"/>
          <w:sz w:val="27"/>
          <w:szCs w:val="27"/>
        </w:rPr>
        <w:t>十二、政府采购支出决算情况说明</w:t>
      </w:r>
    </w:p>
    <w:p>
      <w:pPr>
        <w:widowControl/>
        <w:spacing w:before="240" w:after="240"/>
        <w:rPr>
          <w:rFonts w:hint="eastAsia" w:ascii="仿宋" w:hAnsi="仿宋" w:eastAsia="仿宋" w:cs="仿宋"/>
          <w:kern w:val="0"/>
          <w:sz w:val="24"/>
          <w:u w:val="none" w:color="auto"/>
        </w:rPr>
      </w:pPr>
      <w:r>
        <w:rPr>
          <w:rFonts w:ascii="仿宋_GB2312" w:hAnsi="仿宋_GB2312" w:eastAsia="仿宋_GB2312" w:cs="仿宋_GB2312"/>
          <w:kern w:val="0"/>
          <w:sz w:val="27"/>
          <w:szCs w:val="27"/>
        </w:rPr>
        <w:t xml:space="preserve">    </w:t>
      </w:r>
      <w:r>
        <w:rPr>
          <w:rFonts w:hint="eastAsia" w:ascii="仿宋" w:hAnsi="仿宋" w:eastAsia="仿宋" w:cs="仿宋"/>
          <w:color w:val="000000"/>
          <w:kern w:val="0"/>
          <w:sz w:val="27"/>
          <w:szCs w:val="27"/>
          <w:u w:val="none" w:color="auto"/>
        </w:rPr>
        <w:t>内蒙古自治区巴彦淖尔市住房和城乡建设局(本级) 2024年度政府采购支出总额 0万元，其中：政府采购货物支出 0万元、政府采购工程支出 0万元、政府采购服务支出 0万元。政府采购授予中小企业合同金额 0万元，占政府采购支出总额的</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%，其中：授予小微企业合同金额  0万元，占政府采购支出总额的</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%；货物采购授予中小企业合同金额占货物支出金额的</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%，工程采购授予中小企业合同金额占工程支出金额的</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%，服务采购授予中小企业合同金额占服务支出金额的</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十三、国有资产占用情况说明</w:t>
      </w:r>
    </w:p>
    <w:p>
      <w:pPr>
        <w:widowControl/>
        <w:spacing w:before="240" w:after="240"/>
        <w:rPr>
          <w:rFonts w:hint="eastAsia" w:ascii="仿宋" w:hAnsi="仿宋" w:eastAsia="仿宋" w:cs="仿宋"/>
          <w:kern w:val="0"/>
          <w:sz w:val="24"/>
          <w:u w:val="none" w:color="auto"/>
        </w:rPr>
      </w:pPr>
      <w:r>
        <w:rPr>
          <w:rFonts w:ascii="仿宋_GB2312" w:hAnsi="仿宋_GB2312" w:eastAsia="仿宋_GB2312" w:cs="仿宋_GB2312"/>
          <w:kern w:val="0"/>
          <w:sz w:val="27"/>
          <w:szCs w:val="27"/>
        </w:rPr>
        <w:t>   </w:t>
      </w:r>
      <w:r>
        <w:rPr>
          <w:rFonts w:hint="eastAsia" w:ascii="仿宋" w:hAnsi="仿宋" w:eastAsia="仿宋" w:cs="仿宋"/>
          <w:color w:val="000000"/>
          <w:kern w:val="0"/>
          <w:sz w:val="27"/>
          <w:szCs w:val="27"/>
          <w:u w:val="none" w:color="auto"/>
        </w:rPr>
        <w:t xml:space="preserve"> 内蒙古自治区巴彦淖尔市住房和城乡建设局(本级) 截至2024年12月31日，本部门（单位）共有车辆 3辆，其中：副部（省）级及以上领导用车0 辆、主要负责人用车 0辆、机要通信用车 1辆、应急保障用车 0辆、执法执勤用车 0辆、特种专业技术用车 0辆、离退休干部服务用车 0辆，其他用车 2辆；单价100万元（含）以上的设备（不含车辆） 0台（套）。</w:t>
      </w:r>
    </w:p>
    <w:p>
      <w:pPr>
        <w:widowControl/>
        <w:spacing w:before="240" w:after="240"/>
        <w:jc w:val="left"/>
        <w:rPr>
          <w:rFonts w:ascii="Times New Roman" w:hAnsi="Times New Roman" w:eastAsia="Times New Roman" w:cs="Times New Roman"/>
          <w:kern w:val="0"/>
          <w:sz w:val="24"/>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ascii="黑体" w:hAnsi="黑体" w:eastAsia="黑体" w:cs="黑体"/>
          <w:b/>
          <w:bCs/>
          <w:kern w:val="0"/>
          <w:sz w:val="27"/>
          <w:szCs w:val="27"/>
        </w:rPr>
        <w:t xml:space="preserve"> 十四、预算绩效情况说明</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kern w:val="0"/>
          <w:sz w:val="27"/>
          <w:szCs w:val="27"/>
        </w:rPr>
        <w:t>    （一）预算绩效管理工作开展情况。</w:t>
      </w:r>
    </w:p>
    <w:p>
      <w:pPr>
        <w:keepNext w:val="0"/>
        <w:keepLines w:val="0"/>
        <w:pageBreakBefore w:val="0"/>
        <w:widowControl/>
        <w:kinsoku/>
        <w:wordWrap/>
        <w:overflowPunct/>
        <w:topLinePunct w:val="0"/>
        <w:autoSpaceDE/>
        <w:autoSpaceDN/>
        <w:bidi w:val="0"/>
        <w:adjustRightInd/>
        <w:snapToGrid/>
        <w:ind w:firstLine="420"/>
        <w:textAlignment w:val="auto"/>
        <w:rPr>
          <w:rFonts w:hint="eastAsia" w:ascii="仿宋" w:hAnsi="仿宋" w:eastAsia="仿宋" w:cs="仿宋"/>
          <w:color w:val="000000"/>
          <w:kern w:val="0"/>
          <w:sz w:val="27"/>
          <w:szCs w:val="27"/>
          <w:u w:val="none" w:color="auto"/>
          <w:lang w:eastAsia="zh-CN"/>
        </w:rPr>
      </w:pPr>
      <w:r>
        <w:rPr>
          <w:rFonts w:hint="eastAsia" w:ascii="仿宋" w:hAnsi="仿宋" w:eastAsia="仿宋" w:cs="仿宋"/>
          <w:color w:val="000000"/>
          <w:kern w:val="0"/>
          <w:sz w:val="27"/>
          <w:szCs w:val="27"/>
          <w:u w:val="none" w:color="auto"/>
        </w:rPr>
        <w:t>内蒙古自治区巴彦淖尔市住房和城乡建设局(本级) 根据预算绩效管理要求组织对2024年一般公共预算项目支出全面开展绩效自评，其中一级项目</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个，二级项目</w:t>
      </w:r>
      <w:r>
        <w:rPr>
          <w:rFonts w:hint="eastAsia" w:ascii="仿宋" w:hAnsi="仿宋" w:eastAsia="仿宋" w:cs="仿宋"/>
          <w:color w:val="000000"/>
          <w:kern w:val="0"/>
          <w:sz w:val="27"/>
          <w:szCs w:val="27"/>
          <w:u w:val="none" w:color="auto"/>
          <w:lang w:val="en-US" w:eastAsia="zh-CN"/>
        </w:rPr>
        <w:t>5</w:t>
      </w:r>
      <w:r>
        <w:rPr>
          <w:rFonts w:hint="eastAsia" w:ascii="仿宋" w:hAnsi="仿宋" w:eastAsia="仿宋" w:cs="仿宋"/>
          <w:color w:val="000000"/>
          <w:kern w:val="0"/>
          <w:sz w:val="27"/>
          <w:szCs w:val="27"/>
          <w:u w:val="none" w:color="auto"/>
        </w:rPr>
        <w:t>个，共涉及资金</w:t>
      </w:r>
      <w:r>
        <w:rPr>
          <w:rFonts w:hint="eastAsia" w:ascii="仿宋" w:hAnsi="仿宋" w:eastAsia="仿宋" w:cs="仿宋"/>
          <w:color w:val="000000"/>
          <w:kern w:val="0"/>
          <w:sz w:val="27"/>
          <w:szCs w:val="27"/>
          <w:u w:val="none" w:color="auto"/>
          <w:lang w:val="en-US" w:eastAsia="zh-CN"/>
        </w:rPr>
        <w:t>155.68</w:t>
      </w:r>
      <w:r>
        <w:rPr>
          <w:rFonts w:hint="eastAsia" w:ascii="仿宋" w:hAnsi="仿宋" w:eastAsia="仿宋" w:cs="仿宋"/>
          <w:color w:val="000000"/>
          <w:kern w:val="0"/>
          <w:sz w:val="27"/>
          <w:szCs w:val="27"/>
          <w:u w:val="none" w:color="auto"/>
        </w:rPr>
        <w:t>万元，占一般公共预算项目支出总额的100%；政府性基金预算项目</w:t>
      </w:r>
      <w:r>
        <w:rPr>
          <w:rFonts w:hint="eastAsia" w:ascii="仿宋" w:hAnsi="仿宋" w:eastAsia="仿宋" w:cs="仿宋"/>
          <w:color w:val="000000"/>
          <w:kern w:val="0"/>
          <w:sz w:val="27"/>
          <w:szCs w:val="27"/>
          <w:u w:val="none" w:color="auto"/>
          <w:lang w:val="en-US" w:eastAsia="zh-CN"/>
        </w:rPr>
        <w:t>5</w:t>
      </w:r>
      <w:r>
        <w:rPr>
          <w:rFonts w:hint="eastAsia" w:ascii="仿宋" w:hAnsi="仿宋" w:eastAsia="仿宋" w:cs="仿宋"/>
          <w:color w:val="000000"/>
          <w:kern w:val="0"/>
          <w:sz w:val="27"/>
          <w:szCs w:val="27"/>
          <w:u w:val="none" w:color="auto"/>
        </w:rPr>
        <w:t>个，其中，一级项目</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 个，二级项目</w:t>
      </w:r>
      <w:r>
        <w:rPr>
          <w:rFonts w:hint="eastAsia" w:ascii="仿宋" w:hAnsi="仿宋" w:eastAsia="仿宋" w:cs="仿宋"/>
          <w:color w:val="000000"/>
          <w:kern w:val="0"/>
          <w:sz w:val="27"/>
          <w:szCs w:val="27"/>
          <w:u w:val="none" w:color="auto"/>
          <w:lang w:val="en-US" w:eastAsia="zh-CN"/>
        </w:rPr>
        <w:t>5</w:t>
      </w:r>
      <w:r>
        <w:rPr>
          <w:rFonts w:hint="eastAsia" w:ascii="仿宋" w:hAnsi="仿宋" w:eastAsia="仿宋" w:cs="仿宋"/>
          <w:color w:val="000000"/>
          <w:kern w:val="0"/>
          <w:sz w:val="27"/>
          <w:szCs w:val="27"/>
          <w:u w:val="none" w:color="auto"/>
        </w:rPr>
        <w:t>个，共涉及资金</w:t>
      </w:r>
      <w:r>
        <w:rPr>
          <w:rFonts w:hint="eastAsia" w:ascii="仿宋" w:hAnsi="仿宋" w:eastAsia="仿宋" w:cs="仿宋"/>
          <w:color w:val="000000"/>
          <w:kern w:val="0"/>
          <w:sz w:val="27"/>
          <w:szCs w:val="27"/>
          <w:u w:val="none" w:color="auto"/>
          <w:lang w:val="en-US" w:eastAsia="zh-CN"/>
        </w:rPr>
        <w:t>155.68</w:t>
      </w:r>
      <w:r>
        <w:rPr>
          <w:rFonts w:hint="eastAsia" w:ascii="仿宋" w:hAnsi="仿宋" w:eastAsia="仿宋" w:cs="仿宋"/>
          <w:color w:val="000000"/>
          <w:kern w:val="0"/>
          <w:sz w:val="27"/>
          <w:szCs w:val="27"/>
          <w:u w:val="none" w:color="auto"/>
        </w:rPr>
        <w:t>元，占应纳入绩效自评的政府性基金预算项目支出总额的100%</w:t>
      </w:r>
      <w:r>
        <w:rPr>
          <w:rFonts w:hint="eastAsia" w:ascii="仿宋" w:hAnsi="仿宋" w:eastAsia="仿宋" w:cs="仿宋"/>
          <w:color w:val="000000"/>
          <w:kern w:val="0"/>
          <w:sz w:val="27"/>
          <w:szCs w:val="27"/>
          <w:u w:val="none" w:color="auto"/>
          <w:lang w:eastAsia="zh-CN"/>
        </w:rPr>
        <w:t>。</w:t>
      </w:r>
    </w:p>
    <w:p>
      <w:pPr>
        <w:keepNext w:val="0"/>
        <w:keepLines w:val="0"/>
        <w:pageBreakBefore w:val="0"/>
        <w:widowControl/>
        <w:kinsoku/>
        <w:wordWrap/>
        <w:overflowPunct/>
        <w:topLinePunct w:val="0"/>
        <w:autoSpaceDE/>
        <w:autoSpaceDN/>
        <w:bidi w:val="0"/>
        <w:adjustRightInd/>
        <w:snapToGrid/>
        <w:ind w:firstLine="420"/>
        <w:textAlignment w:val="auto"/>
        <w:rPr>
          <w:rFonts w:hint="eastAsia" w:ascii="仿宋" w:hAnsi="仿宋" w:eastAsia="仿宋" w:cs="仿宋"/>
          <w:kern w:val="0"/>
          <w:sz w:val="24"/>
          <w:u w:val="none" w:color="auto"/>
        </w:rPr>
      </w:pPr>
      <w:r>
        <w:rPr>
          <w:rFonts w:hint="eastAsia" w:ascii="仿宋" w:hAnsi="仿宋" w:eastAsia="仿宋" w:cs="仿宋"/>
          <w:color w:val="000000"/>
          <w:kern w:val="0"/>
          <w:sz w:val="27"/>
          <w:szCs w:val="27"/>
          <w:u w:val="none" w:color="auto"/>
        </w:rPr>
        <w:t>组织对“</w:t>
      </w:r>
      <w:r>
        <w:rPr>
          <w:rFonts w:hint="eastAsia" w:ascii="仿宋" w:hAnsi="仿宋" w:eastAsia="仿宋" w:cs="仿宋"/>
          <w:color w:val="000000"/>
          <w:kern w:val="0"/>
          <w:sz w:val="27"/>
          <w:szCs w:val="27"/>
          <w:u w:val="none"/>
        </w:rPr>
        <w:t>城市精细化管理工作经费</w:t>
      </w:r>
      <w:r>
        <w:rPr>
          <w:rFonts w:hint="eastAsia" w:ascii="仿宋" w:hAnsi="仿宋" w:eastAsia="仿宋" w:cs="仿宋"/>
          <w:color w:val="000000"/>
          <w:kern w:val="0"/>
          <w:sz w:val="27"/>
          <w:szCs w:val="27"/>
          <w:u w:val="none" w:color="auto"/>
        </w:rPr>
        <w:t>项目”、“</w:t>
      </w:r>
      <w:r>
        <w:rPr>
          <w:rFonts w:hint="eastAsia" w:ascii="仿宋" w:hAnsi="仿宋" w:eastAsia="仿宋" w:cs="仿宋"/>
          <w:color w:val="000000"/>
          <w:kern w:val="0"/>
          <w:sz w:val="27"/>
          <w:szCs w:val="27"/>
          <w:u w:val="none"/>
        </w:rPr>
        <w:t>冬季清洁能源取暖</w:t>
      </w:r>
      <w:r>
        <w:rPr>
          <w:rFonts w:hint="eastAsia" w:ascii="仿宋" w:hAnsi="仿宋" w:eastAsia="仿宋" w:cs="仿宋"/>
          <w:color w:val="000000"/>
          <w:kern w:val="0"/>
          <w:sz w:val="27"/>
          <w:szCs w:val="27"/>
          <w:u w:val="none" w:color="auto"/>
        </w:rPr>
        <w:t>项目”、“</w:t>
      </w:r>
      <w:r>
        <w:rPr>
          <w:rFonts w:hint="eastAsia" w:ascii="仿宋" w:hAnsi="仿宋" w:eastAsia="仿宋" w:cs="仿宋"/>
          <w:color w:val="000000"/>
          <w:kern w:val="0"/>
          <w:sz w:val="27"/>
          <w:szCs w:val="27"/>
          <w:u w:val="none"/>
        </w:rPr>
        <w:t>天然气储气设施建设</w:t>
      </w:r>
      <w:r>
        <w:rPr>
          <w:rFonts w:hint="eastAsia" w:ascii="仿宋" w:hAnsi="仿宋" w:eastAsia="仿宋" w:cs="仿宋"/>
          <w:color w:val="000000"/>
          <w:kern w:val="0"/>
          <w:sz w:val="27"/>
          <w:szCs w:val="27"/>
          <w:u w:val="none" w:color="auto"/>
        </w:rPr>
        <w:t>项目”等 </w:t>
      </w:r>
      <w:r>
        <w:rPr>
          <w:rFonts w:hint="eastAsia" w:ascii="仿宋" w:hAnsi="仿宋" w:eastAsia="仿宋" w:cs="仿宋"/>
          <w:color w:val="000000"/>
          <w:kern w:val="0"/>
          <w:sz w:val="27"/>
          <w:szCs w:val="27"/>
          <w:u w:val="none" w:color="auto"/>
          <w:lang w:val="en-US" w:eastAsia="zh-CN"/>
        </w:rPr>
        <w:t>5</w:t>
      </w:r>
      <w:r>
        <w:rPr>
          <w:rFonts w:hint="eastAsia" w:ascii="仿宋" w:hAnsi="仿宋" w:eastAsia="仿宋" w:cs="仿宋"/>
          <w:color w:val="000000"/>
          <w:kern w:val="0"/>
          <w:sz w:val="27"/>
          <w:szCs w:val="27"/>
          <w:u w:val="none" w:color="auto"/>
        </w:rPr>
        <w:t>个项目开展了部门评价，涉及一般公共预算支出</w:t>
      </w:r>
      <w:r>
        <w:rPr>
          <w:rFonts w:hint="eastAsia" w:ascii="仿宋" w:hAnsi="仿宋" w:eastAsia="仿宋" w:cs="仿宋"/>
          <w:color w:val="000000"/>
          <w:kern w:val="0"/>
          <w:sz w:val="27"/>
          <w:szCs w:val="27"/>
          <w:u w:val="none" w:color="auto"/>
          <w:lang w:val="en-US" w:eastAsia="zh-CN"/>
        </w:rPr>
        <w:t>155.68</w:t>
      </w:r>
      <w:r>
        <w:rPr>
          <w:rFonts w:hint="eastAsia" w:ascii="仿宋" w:hAnsi="仿宋" w:eastAsia="仿宋" w:cs="仿宋"/>
          <w:color w:val="000000"/>
          <w:kern w:val="0"/>
          <w:sz w:val="27"/>
          <w:szCs w:val="27"/>
          <w:u w:val="none" w:color="auto"/>
        </w:rPr>
        <w:t>万元，政府性基金支出</w:t>
      </w:r>
      <w:r>
        <w:rPr>
          <w:rFonts w:hint="eastAsia" w:ascii="仿宋" w:hAnsi="仿宋" w:eastAsia="仿宋" w:cs="仿宋"/>
          <w:color w:val="000000"/>
          <w:kern w:val="0"/>
          <w:sz w:val="27"/>
          <w:szCs w:val="27"/>
          <w:u w:val="none" w:color="auto"/>
          <w:lang w:val="en-US" w:eastAsia="zh-CN"/>
        </w:rPr>
        <w:t>0</w:t>
      </w:r>
      <w:r>
        <w:rPr>
          <w:rFonts w:hint="eastAsia" w:ascii="仿宋" w:hAnsi="仿宋" w:eastAsia="仿宋" w:cs="仿宋"/>
          <w:color w:val="000000"/>
          <w:kern w:val="0"/>
          <w:sz w:val="27"/>
          <w:szCs w:val="27"/>
          <w:u w:val="none" w:color="auto"/>
        </w:rPr>
        <w:t>万元。其中，对“</w:t>
      </w:r>
      <w:r>
        <w:rPr>
          <w:rFonts w:hint="eastAsia" w:ascii="仿宋" w:hAnsi="仿宋" w:eastAsia="仿宋" w:cs="仿宋"/>
          <w:color w:val="000000"/>
          <w:kern w:val="0"/>
          <w:sz w:val="27"/>
          <w:szCs w:val="27"/>
          <w:u w:val="none"/>
        </w:rPr>
        <w:t>城市精细化管理工作经费</w:t>
      </w:r>
      <w:r>
        <w:rPr>
          <w:rFonts w:hint="eastAsia" w:ascii="仿宋" w:hAnsi="仿宋" w:eastAsia="仿宋" w:cs="仿宋"/>
          <w:color w:val="000000"/>
          <w:kern w:val="0"/>
          <w:sz w:val="27"/>
          <w:szCs w:val="27"/>
          <w:u w:val="none" w:color="auto"/>
        </w:rPr>
        <w:t>项目”、“</w:t>
      </w:r>
      <w:r>
        <w:rPr>
          <w:rFonts w:hint="eastAsia" w:ascii="仿宋" w:hAnsi="仿宋" w:eastAsia="仿宋" w:cs="仿宋"/>
          <w:color w:val="000000"/>
          <w:kern w:val="0"/>
          <w:sz w:val="27"/>
          <w:szCs w:val="27"/>
          <w:u w:val="none"/>
        </w:rPr>
        <w:t>冬季清洁能源取暖</w:t>
      </w:r>
      <w:r>
        <w:rPr>
          <w:rFonts w:hint="eastAsia" w:ascii="仿宋" w:hAnsi="仿宋" w:eastAsia="仿宋" w:cs="仿宋"/>
          <w:color w:val="000000"/>
          <w:kern w:val="0"/>
          <w:sz w:val="27"/>
          <w:szCs w:val="27"/>
          <w:u w:val="none" w:color="auto"/>
        </w:rPr>
        <w:t>项目”、“</w:t>
      </w:r>
      <w:r>
        <w:rPr>
          <w:rFonts w:hint="eastAsia" w:ascii="仿宋" w:hAnsi="仿宋" w:eastAsia="仿宋" w:cs="仿宋"/>
          <w:color w:val="000000"/>
          <w:kern w:val="0"/>
          <w:sz w:val="27"/>
          <w:szCs w:val="27"/>
          <w:u w:val="none"/>
        </w:rPr>
        <w:t>天然气储气设施建设</w:t>
      </w:r>
      <w:r>
        <w:rPr>
          <w:rFonts w:hint="eastAsia" w:ascii="仿宋" w:hAnsi="仿宋" w:eastAsia="仿宋" w:cs="仿宋"/>
          <w:color w:val="000000"/>
          <w:kern w:val="0"/>
          <w:sz w:val="27"/>
          <w:szCs w:val="27"/>
          <w:u w:val="none" w:color="auto"/>
        </w:rPr>
        <w:t>项目”等 </w:t>
      </w:r>
      <w:r>
        <w:rPr>
          <w:rFonts w:hint="eastAsia" w:ascii="仿宋" w:hAnsi="仿宋" w:eastAsia="仿宋" w:cs="仿宋"/>
          <w:color w:val="000000"/>
          <w:kern w:val="0"/>
          <w:sz w:val="27"/>
          <w:szCs w:val="27"/>
          <w:u w:val="none" w:color="auto"/>
          <w:lang w:val="en-US" w:eastAsia="zh-CN"/>
        </w:rPr>
        <w:t>5</w:t>
      </w:r>
      <w:r>
        <w:rPr>
          <w:rFonts w:hint="eastAsia" w:ascii="仿宋" w:hAnsi="仿宋" w:eastAsia="仿宋" w:cs="仿宋"/>
          <w:color w:val="000000"/>
          <w:kern w:val="0"/>
          <w:sz w:val="27"/>
          <w:szCs w:val="27"/>
          <w:u w:val="none" w:color="auto"/>
        </w:rPr>
        <w:t>个项目分别委托相关第三方机构开展绩效评价。从评价情况看，以上项目运用由评价工作组设计的评价指标体系及评分标 准，通过数据收集、现场调研、问卷调查，对支出绩效进行客观评价，绩效评级为“优”。</w:t>
      </w:r>
    </w:p>
    <w:p>
      <w:pPr>
        <w:widowControl/>
        <w:spacing w:before="240" w:after="240"/>
        <w:jc w:val="left"/>
        <w:rPr>
          <w:rFonts w:ascii="Times New Roman" w:hAnsi="Times New Roman" w:eastAsia="Times New Roman" w:cs="Times New Roman"/>
          <w:kern w:val="0"/>
          <w:sz w:val="24"/>
        </w:rPr>
      </w:pPr>
      <w:r>
        <w:rPr>
          <w:rFonts w:ascii="kai_ti_gb2312" w:hAnsi="kai_ti_gb2312" w:eastAsia="kai_ti_gb2312" w:cs="kai_ti_gb2312"/>
          <w:b/>
          <w:bCs/>
          <w:color w:val="000000"/>
          <w:kern w:val="0"/>
          <w:sz w:val="27"/>
          <w:szCs w:val="27"/>
        </w:rPr>
        <w:t>    （二）部门（单位）决算中项目绩效自评结果。</w:t>
      </w:r>
    </w:p>
    <w:p>
      <w:pPr>
        <w:keepNext w:val="0"/>
        <w:keepLines w:val="0"/>
        <w:pageBreakBefore w:val="0"/>
        <w:widowControl/>
        <w:kinsoku/>
        <w:wordWrap/>
        <w:overflowPunct/>
        <w:topLinePunct w:val="0"/>
        <w:autoSpaceDE/>
        <w:autoSpaceDN/>
        <w:bidi w:val="0"/>
        <w:adjustRightInd/>
        <w:snapToGrid/>
        <w:ind w:firstLine="442"/>
        <w:textAlignment w:val="auto"/>
        <w:rPr>
          <w:rFonts w:hint="eastAsia" w:ascii="仿宋" w:hAnsi="仿宋" w:eastAsia="仿宋" w:cs="仿宋"/>
          <w:color w:val="000000"/>
          <w:kern w:val="0"/>
          <w:sz w:val="27"/>
          <w:szCs w:val="27"/>
          <w:u w:val="none"/>
        </w:rPr>
      </w:pPr>
      <w:r>
        <w:rPr>
          <w:rFonts w:hint="eastAsia" w:ascii="仿宋" w:hAnsi="仿宋" w:eastAsia="仿宋" w:cs="仿宋"/>
          <w:color w:val="000000"/>
          <w:kern w:val="0"/>
          <w:sz w:val="27"/>
          <w:szCs w:val="27"/>
          <w:u w:val="none"/>
        </w:rPr>
        <w:t>内蒙古自治区巴彦淖尔市住房和城乡建设局(本级) 2024年度在决算中反映</w:t>
      </w:r>
      <w:r>
        <w:rPr>
          <w:rFonts w:hint="eastAsia" w:ascii="仿宋" w:hAnsi="仿宋" w:eastAsia="仿宋" w:cs="仿宋"/>
          <w:color w:val="000000"/>
          <w:kern w:val="0"/>
          <w:sz w:val="27"/>
          <w:szCs w:val="27"/>
          <w:u w:val="none" w:color="000000"/>
          <w:lang w:val="en-US" w:eastAsia="zh-CN"/>
        </w:rPr>
        <w:t>5</w:t>
      </w:r>
      <w:r>
        <w:rPr>
          <w:rFonts w:hint="eastAsia" w:ascii="仿宋" w:hAnsi="仿宋" w:eastAsia="仿宋" w:cs="仿宋"/>
          <w:color w:val="000000"/>
          <w:kern w:val="0"/>
          <w:sz w:val="27"/>
          <w:szCs w:val="27"/>
          <w:u w:val="none"/>
        </w:rPr>
        <w:t>个一般公共预算项目，共</w:t>
      </w:r>
      <w:r>
        <w:rPr>
          <w:rFonts w:hint="eastAsia" w:ascii="仿宋" w:hAnsi="仿宋" w:eastAsia="仿宋" w:cs="仿宋"/>
          <w:color w:val="000000"/>
          <w:kern w:val="0"/>
          <w:sz w:val="27"/>
          <w:szCs w:val="27"/>
          <w:u w:val="none" w:color="000000"/>
          <w:lang w:val="en-US" w:eastAsia="zh-CN"/>
        </w:rPr>
        <w:t>5</w:t>
      </w:r>
      <w:r>
        <w:rPr>
          <w:rFonts w:hint="eastAsia" w:ascii="仿宋" w:hAnsi="仿宋" w:eastAsia="仿宋" w:cs="仿宋"/>
          <w:color w:val="000000"/>
          <w:kern w:val="0"/>
          <w:sz w:val="27"/>
          <w:szCs w:val="27"/>
          <w:u w:val="none"/>
        </w:rPr>
        <w:t>个项目的绩效自评结果。</w:t>
      </w:r>
    </w:p>
    <w:p>
      <w:pPr>
        <w:keepNext w:val="0"/>
        <w:keepLines w:val="0"/>
        <w:pageBreakBefore w:val="0"/>
        <w:widowControl/>
        <w:kinsoku/>
        <w:wordWrap/>
        <w:overflowPunct/>
        <w:topLinePunct w:val="0"/>
        <w:autoSpaceDE/>
        <w:autoSpaceDN/>
        <w:bidi w:val="0"/>
        <w:adjustRightInd/>
        <w:snapToGrid/>
        <w:ind w:firstLine="442"/>
        <w:textAlignment w:val="auto"/>
        <w:rPr>
          <w:rFonts w:hint="eastAsia" w:ascii="仿宋" w:hAnsi="仿宋" w:eastAsia="仿宋" w:cs="仿宋"/>
          <w:color w:val="000000"/>
          <w:kern w:val="0"/>
          <w:sz w:val="27"/>
          <w:szCs w:val="27"/>
          <w:u w:val="none"/>
        </w:rPr>
      </w:pPr>
      <w:r>
        <w:rPr>
          <w:rFonts w:hint="eastAsia" w:ascii="仿宋" w:hAnsi="仿宋" w:eastAsia="仿宋" w:cs="仿宋"/>
          <w:color w:val="000000"/>
          <w:kern w:val="0"/>
          <w:sz w:val="27"/>
          <w:szCs w:val="27"/>
          <w:u w:val="none"/>
        </w:rPr>
        <w:t>1.城市精细化管理工作经费项目自评综述：根据年初设定的绩效目标，项目自评得分 9</w:t>
      </w:r>
      <w:r>
        <w:rPr>
          <w:rFonts w:hint="eastAsia" w:ascii="仿宋" w:hAnsi="仿宋" w:eastAsia="仿宋" w:cs="仿宋"/>
          <w:color w:val="000000"/>
          <w:kern w:val="0"/>
          <w:sz w:val="27"/>
          <w:szCs w:val="27"/>
          <w:u w:val="none"/>
          <w:lang w:val="en-US" w:eastAsia="zh-CN"/>
        </w:rPr>
        <w:t>9.95</w:t>
      </w:r>
      <w:r>
        <w:rPr>
          <w:rFonts w:hint="eastAsia" w:ascii="仿宋" w:hAnsi="仿宋" w:eastAsia="仿宋" w:cs="仿宋"/>
          <w:color w:val="000000"/>
          <w:kern w:val="0"/>
          <w:sz w:val="27"/>
          <w:szCs w:val="27"/>
          <w:u w:val="none"/>
        </w:rPr>
        <w:t>分。全年预算数为</w:t>
      </w:r>
      <w:r>
        <w:rPr>
          <w:rFonts w:hint="eastAsia" w:ascii="仿宋" w:hAnsi="仿宋" w:eastAsia="仿宋" w:cs="仿宋"/>
          <w:color w:val="000000"/>
          <w:kern w:val="0"/>
          <w:sz w:val="27"/>
          <w:szCs w:val="27"/>
          <w:u w:val="none"/>
          <w:lang w:val="en-US" w:eastAsia="zh-CN"/>
        </w:rPr>
        <w:t>50</w:t>
      </w:r>
      <w:r>
        <w:rPr>
          <w:rFonts w:hint="eastAsia" w:ascii="仿宋" w:hAnsi="仿宋" w:eastAsia="仿宋" w:cs="仿宋"/>
          <w:color w:val="000000"/>
          <w:kern w:val="0"/>
          <w:sz w:val="27"/>
          <w:szCs w:val="27"/>
          <w:u w:val="none"/>
        </w:rPr>
        <w:t>万元，执行数为</w:t>
      </w:r>
      <w:r>
        <w:rPr>
          <w:rFonts w:hint="eastAsia" w:ascii="仿宋" w:hAnsi="仿宋" w:eastAsia="仿宋" w:cs="仿宋"/>
          <w:color w:val="000000"/>
          <w:kern w:val="0"/>
          <w:sz w:val="27"/>
          <w:szCs w:val="27"/>
          <w:u w:val="none"/>
          <w:lang w:val="en-US" w:eastAsia="zh-CN"/>
        </w:rPr>
        <w:t>49.77</w:t>
      </w:r>
      <w:r>
        <w:rPr>
          <w:rFonts w:hint="eastAsia" w:ascii="仿宋" w:hAnsi="仿宋" w:eastAsia="仿宋" w:cs="仿宋"/>
          <w:color w:val="000000"/>
          <w:kern w:val="0"/>
          <w:sz w:val="27"/>
          <w:szCs w:val="27"/>
          <w:u w:val="none"/>
        </w:rPr>
        <w:t>万元，完成预算的</w:t>
      </w:r>
      <w:r>
        <w:rPr>
          <w:rFonts w:hint="eastAsia" w:ascii="仿宋" w:hAnsi="仿宋" w:eastAsia="仿宋" w:cs="仿宋"/>
          <w:color w:val="000000"/>
          <w:kern w:val="0"/>
          <w:sz w:val="27"/>
          <w:szCs w:val="27"/>
          <w:u w:val="none"/>
          <w:lang w:val="en-US" w:eastAsia="zh-CN"/>
        </w:rPr>
        <w:t>99.54</w:t>
      </w:r>
      <w:r>
        <w:rPr>
          <w:rFonts w:hint="eastAsia" w:ascii="仿宋" w:hAnsi="仿宋" w:eastAsia="仿宋" w:cs="仿宋"/>
          <w:color w:val="000000"/>
          <w:kern w:val="0"/>
          <w:sz w:val="27"/>
          <w:szCs w:val="27"/>
          <w:u w:val="none"/>
        </w:rPr>
        <w:t>%项目绩效目标完成情况：项目年度绩效指标完成情况较好，执行过程中产生了良好 的社会效益，达到了预期的绩效目标。发现的主要问题及原因：</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项目立项、实施 存在问题。</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资金管理使用存在问题。下一步改进措施：</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项目成果的备份与管理：项目的成果要进行备份管理，确保成果的安全可靠，在备份的过程中，我们需要确保数据的完整性和一致性</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成果的推广和应用：在项目中取得的成果需要进行充 分的推广和应用，通过专门的会议、培训、宣传等形式，让成果得到更多的认可和使用</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3</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团队的能力建设：在执行项目的过程中</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我们需要不断提升团队的能力水平，让团队成员能够不断地学习和进步。同时，也需要进行团队成员的能力评估，鼓励优秀的成员，补充短板。</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仿宋" w:hAnsi="仿宋" w:eastAsia="仿宋" w:cs="仿宋"/>
          <w:color w:val="000000"/>
          <w:kern w:val="0"/>
          <w:sz w:val="27"/>
          <w:szCs w:val="27"/>
          <w:u w:val="none"/>
        </w:rPr>
      </w:pPr>
      <w:r>
        <w:rPr>
          <w:rFonts w:hint="eastAsia" w:ascii="仿宋" w:hAnsi="仿宋" w:eastAsia="仿宋" w:cs="仿宋"/>
          <w:color w:val="000000"/>
          <w:kern w:val="0"/>
          <w:sz w:val="27"/>
          <w:szCs w:val="27"/>
          <w:u w:val="none"/>
        </w:rPr>
        <w:t xml:space="preserve">2.冬季清洁能源取暖项目自评综述：根据年初设定的绩效目标，项目自评得分 </w:t>
      </w:r>
      <w:r>
        <w:rPr>
          <w:rFonts w:hint="eastAsia" w:ascii="仿宋" w:hAnsi="仿宋" w:eastAsia="仿宋" w:cs="仿宋"/>
          <w:color w:val="000000"/>
          <w:kern w:val="0"/>
          <w:sz w:val="27"/>
          <w:szCs w:val="27"/>
          <w:u w:val="none"/>
          <w:lang w:val="en-US" w:eastAsia="zh-CN"/>
        </w:rPr>
        <w:t>96.63</w:t>
      </w:r>
      <w:r>
        <w:rPr>
          <w:rFonts w:hint="eastAsia" w:ascii="仿宋" w:hAnsi="仿宋" w:eastAsia="仿宋" w:cs="仿宋"/>
          <w:color w:val="000000"/>
          <w:kern w:val="0"/>
          <w:sz w:val="27"/>
          <w:szCs w:val="27"/>
          <w:u w:val="none"/>
        </w:rPr>
        <w:t>分。全年预算数为</w:t>
      </w:r>
      <w:r>
        <w:rPr>
          <w:rFonts w:hint="eastAsia" w:ascii="仿宋" w:hAnsi="仿宋" w:eastAsia="仿宋" w:cs="仿宋"/>
          <w:color w:val="000000"/>
          <w:kern w:val="0"/>
          <w:sz w:val="27"/>
          <w:szCs w:val="27"/>
          <w:u w:val="none"/>
          <w:lang w:val="en-US" w:eastAsia="zh-CN"/>
        </w:rPr>
        <w:t>30</w:t>
      </w:r>
      <w:r>
        <w:rPr>
          <w:rFonts w:hint="eastAsia" w:ascii="仿宋" w:hAnsi="仿宋" w:eastAsia="仿宋" w:cs="仿宋"/>
          <w:color w:val="000000"/>
          <w:kern w:val="0"/>
          <w:sz w:val="27"/>
          <w:szCs w:val="27"/>
          <w:u w:val="none"/>
        </w:rPr>
        <w:t>万元，执行数为</w:t>
      </w:r>
      <w:r>
        <w:rPr>
          <w:rFonts w:hint="eastAsia" w:ascii="仿宋" w:hAnsi="仿宋" w:eastAsia="仿宋" w:cs="仿宋"/>
          <w:color w:val="000000"/>
          <w:kern w:val="0"/>
          <w:sz w:val="27"/>
          <w:szCs w:val="27"/>
          <w:u w:val="none"/>
          <w:lang w:val="en-US" w:eastAsia="zh-CN"/>
        </w:rPr>
        <w:t>19.89</w:t>
      </w:r>
      <w:r>
        <w:rPr>
          <w:rFonts w:hint="eastAsia" w:ascii="仿宋" w:hAnsi="仿宋" w:eastAsia="仿宋" w:cs="仿宋"/>
          <w:color w:val="000000"/>
          <w:kern w:val="0"/>
          <w:sz w:val="27"/>
          <w:szCs w:val="27"/>
          <w:u w:val="none"/>
        </w:rPr>
        <w:t>万元，完成预算的</w:t>
      </w:r>
      <w:r>
        <w:rPr>
          <w:rFonts w:hint="eastAsia" w:ascii="仿宋" w:hAnsi="仿宋" w:eastAsia="仿宋" w:cs="仿宋"/>
          <w:color w:val="000000"/>
          <w:kern w:val="0"/>
          <w:sz w:val="27"/>
          <w:szCs w:val="27"/>
          <w:u w:val="none"/>
          <w:lang w:val="en-US" w:eastAsia="zh-CN"/>
        </w:rPr>
        <w:t>66.3</w:t>
      </w:r>
      <w:r>
        <w:rPr>
          <w:rFonts w:hint="eastAsia" w:ascii="仿宋" w:hAnsi="仿宋" w:eastAsia="仿宋" w:cs="仿宋"/>
          <w:color w:val="000000"/>
          <w:kern w:val="0"/>
          <w:sz w:val="27"/>
          <w:szCs w:val="27"/>
          <w:u w:val="none"/>
        </w:rPr>
        <w:t>%。项目绩效目标完成情况：完成了全部核心指标目标，改善了临河城区街景及设施,提升了城市景观水平。发现的主要问题及原因： 1.项目立项、实施存在问题。2.资金管理使用存在问题。下一步改进措施：一是加大宣传培训和交流力度，在全单位进一步树立“花钱必问效，无效必问责”的绩效理念，同时及时交流共享各地、各单位的先进做法和成功经验，尽快提高工作人员专业能力和业务水平。二是建立健全管理制度，进一步强化预算绩效管理的制度约束，将绩效理念和方法深入融入预算编制、执行、监督全过程</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为实现绩效管理工作的科学化和规范化提供了制度保障。三是完善指标体系，促进绩效管理质量提升，切实提高指标设定的科学性、合理性和规范性。四是强化激励约束，将评价结果用于制定政策、完善制度和编制规划，用于调整预算规模和优化支出结构。</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仿宋" w:hAnsi="仿宋" w:eastAsia="仿宋" w:cs="仿宋"/>
          <w:color w:val="000000"/>
          <w:kern w:val="0"/>
          <w:sz w:val="27"/>
          <w:szCs w:val="27"/>
          <w:u w:val="none"/>
          <w:lang w:eastAsia="zh-CN"/>
        </w:rPr>
      </w:pPr>
      <w:r>
        <w:rPr>
          <w:rFonts w:hint="eastAsia" w:ascii="仿宋" w:hAnsi="仿宋" w:eastAsia="仿宋" w:cs="仿宋"/>
          <w:color w:val="000000"/>
          <w:kern w:val="0"/>
          <w:sz w:val="27"/>
          <w:szCs w:val="27"/>
          <w:u w:val="none"/>
        </w:rPr>
        <w:t>3.天然气储气设施建设项目自评综述：根据年初设定的绩效目标，项目自评得分</w:t>
      </w:r>
      <w:r>
        <w:rPr>
          <w:rFonts w:hint="eastAsia" w:ascii="仿宋" w:hAnsi="仿宋" w:eastAsia="仿宋" w:cs="仿宋"/>
          <w:color w:val="000000"/>
          <w:kern w:val="0"/>
          <w:sz w:val="27"/>
          <w:szCs w:val="27"/>
          <w:u w:val="none"/>
          <w:lang w:val="en-US" w:eastAsia="zh-CN"/>
        </w:rPr>
        <w:t>100</w:t>
      </w:r>
      <w:r>
        <w:rPr>
          <w:rFonts w:hint="eastAsia" w:ascii="仿宋" w:hAnsi="仿宋" w:eastAsia="仿宋" w:cs="仿宋"/>
          <w:color w:val="000000"/>
          <w:kern w:val="0"/>
          <w:sz w:val="27"/>
          <w:szCs w:val="27"/>
          <w:u w:val="none"/>
        </w:rPr>
        <w:t>分。全年预算数为</w:t>
      </w:r>
      <w:r>
        <w:rPr>
          <w:rFonts w:hint="eastAsia" w:ascii="仿宋" w:hAnsi="仿宋" w:eastAsia="仿宋" w:cs="仿宋"/>
          <w:color w:val="000000"/>
          <w:kern w:val="0"/>
          <w:sz w:val="27"/>
          <w:szCs w:val="27"/>
          <w:u w:val="none"/>
          <w:lang w:val="en-US" w:eastAsia="zh-CN"/>
        </w:rPr>
        <w:t>20.68</w:t>
      </w:r>
      <w:r>
        <w:rPr>
          <w:rFonts w:hint="eastAsia" w:ascii="仿宋" w:hAnsi="仿宋" w:eastAsia="仿宋" w:cs="仿宋"/>
          <w:color w:val="000000"/>
          <w:kern w:val="0"/>
          <w:sz w:val="27"/>
          <w:szCs w:val="27"/>
          <w:u w:val="none"/>
        </w:rPr>
        <w:t>万元，执行数为</w:t>
      </w:r>
      <w:r>
        <w:rPr>
          <w:rFonts w:hint="eastAsia" w:ascii="仿宋" w:hAnsi="仿宋" w:eastAsia="仿宋" w:cs="仿宋"/>
          <w:color w:val="000000"/>
          <w:kern w:val="0"/>
          <w:sz w:val="27"/>
          <w:szCs w:val="27"/>
          <w:u w:val="none"/>
          <w:lang w:val="en-US" w:eastAsia="zh-CN"/>
        </w:rPr>
        <w:t>20.68</w:t>
      </w:r>
      <w:r>
        <w:rPr>
          <w:rFonts w:hint="eastAsia" w:ascii="仿宋" w:hAnsi="仿宋" w:eastAsia="仿宋" w:cs="仿宋"/>
          <w:color w:val="000000"/>
          <w:kern w:val="0"/>
          <w:sz w:val="27"/>
          <w:szCs w:val="27"/>
          <w:u w:val="none"/>
        </w:rPr>
        <w:t>万元，完成预算的100%。项 目绩效目标完成情况：项目年度绩效指标完成情况较好，执行过程中产生了良好的 社会效益，达到了预取的绩效目标。发现的主要问题及原因：</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项目立项、实施存在问题。</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资金管理使用存在问题。下一步改进措施：</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责任分工明确.为保证此项目顺利开展，市住建局实行具体项目分工负责制，人员职责划分清晰。科学有效的管理组织机构及人员设置有利于保障项目的顺利进行。</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管理制度健全。（</w:t>
      </w:r>
      <w:r>
        <w:rPr>
          <w:rFonts w:hint="eastAsia" w:ascii="仿宋" w:hAnsi="仿宋" w:eastAsia="仿宋" w:cs="仿宋"/>
          <w:color w:val="000000"/>
          <w:kern w:val="0"/>
          <w:sz w:val="27"/>
          <w:szCs w:val="27"/>
          <w:u w:val="none"/>
          <w:lang w:val="en-US" w:eastAsia="zh-CN"/>
        </w:rPr>
        <w:t>3</w:t>
      </w:r>
      <w:r>
        <w:rPr>
          <w:rFonts w:hint="eastAsia" w:ascii="仿宋" w:hAnsi="仿宋" w:eastAsia="仿宋" w:cs="仿宋"/>
          <w:color w:val="000000"/>
          <w:kern w:val="0"/>
          <w:sz w:val="27"/>
          <w:szCs w:val="27"/>
          <w:u w:val="none"/>
        </w:rPr>
        <w:t>）财务管理制度。市住建局按照财政部门的要求，在财政部门财务管理规范指引下，结合项目实际制定了相应的财务管理制度。（</w:t>
      </w:r>
      <w:r>
        <w:rPr>
          <w:rFonts w:hint="eastAsia" w:ascii="仿宋" w:hAnsi="仿宋" w:eastAsia="仿宋" w:cs="仿宋"/>
          <w:color w:val="000000"/>
          <w:kern w:val="0"/>
          <w:sz w:val="27"/>
          <w:szCs w:val="27"/>
          <w:u w:val="none"/>
          <w:lang w:val="en-US" w:eastAsia="zh-CN"/>
        </w:rPr>
        <w:t>4</w:t>
      </w:r>
      <w:r>
        <w:rPr>
          <w:rFonts w:hint="eastAsia" w:ascii="仿宋" w:hAnsi="仿宋" w:eastAsia="仿宋" w:cs="仿宋"/>
          <w:color w:val="000000"/>
          <w:kern w:val="0"/>
          <w:sz w:val="27"/>
          <w:szCs w:val="27"/>
          <w:u w:val="none"/>
        </w:rPr>
        <w:t>）业务管理制度。市住建局针对绩效管理不同层面的要求以及各执行部门的工作职责，制定了包括内部协调、工作流程、评价范本等一系列业务规范</w:t>
      </w:r>
      <w:r>
        <w:rPr>
          <w:rFonts w:hint="eastAsia" w:ascii="仿宋" w:hAnsi="仿宋" w:eastAsia="仿宋" w:cs="仿宋"/>
          <w:color w:val="000000"/>
          <w:kern w:val="0"/>
          <w:sz w:val="27"/>
          <w:szCs w:val="27"/>
          <w:u w:val="none"/>
          <w:lang w:eastAsia="zh-CN"/>
        </w:rPr>
        <w:t>。</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仿宋" w:hAnsi="仿宋" w:eastAsia="仿宋" w:cs="仿宋"/>
          <w:color w:val="000000"/>
          <w:kern w:val="0"/>
          <w:sz w:val="27"/>
          <w:szCs w:val="27"/>
          <w:u w:val="none"/>
        </w:rPr>
      </w:pPr>
      <w:r>
        <w:rPr>
          <w:rFonts w:hint="eastAsia" w:ascii="仿宋" w:hAnsi="仿宋" w:eastAsia="仿宋" w:cs="仿宋"/>
          <w:color w:val="000000"/>
          <w:kern w:val="0"/>
          <w:sz w:val="27"/>
          <w:szCs w:val="27"/>
          <w:u w:val="none"/>
          <w:lang w:val="en-US" w:eastAsia="zh-CN"/>
        </w:rPr>
        <w:t>4.</w:t>
      </w:r>
      <w:r>
        <w:rPr>
          <w:rFonts w:hint="eastAsia" w:ascii="仿宋" w:hAnsi="仿宋" w:eastAsia="仿宋" w:cs="仿宋"/>
          <w:color w:val="000000"/>
          <w:kern w:val="0"/>
          <w:sz w:val="27"/>
          <w:szCs w:val="27"/>
          <w:u w:val="none"/>
        </w:rPr>
        <w:t>城市体检经费自评综述：根据年初设定的绩效目标，项目自评得分</w:t>
      </w:r>
      <w:r>
        <w:rPr>
          <w:rFonts w:hint="eastAsia" w:ascii="仿宋" w:hAnsi="仿宋" w:eastAsia="仿宋" w:cs="仿宋"/>
          <w:color w:val="000000"/>
          <w:kern w:val="0"/>
          <w:sz w:val="27"/>
          <w:szCs w:val="27"/>
          <w:u w:val="none"/>
          <w:lang w:val="en-US" w:eastAsia="zh-CN"/>
        </w:rPr>
        <w:t>100</w:t>
      </w:r>
      <w:r>
        <w:rPr>
          <w:rFonts w:hint="eastAsia" w:ascii="仿宋" w:hAnsi="仿宋" w:eastAsia="仿宋" w:cs="仿宋"/>
          <w:color w:val="000000"/>
          <w:kern w:val="0"/>
          <w:sz w:val="27"/>
          <w:szCs w:val="27"/>
          <w:u w:val="none"/>
        </w:rPr>
        <w:t>分。全年预算数为</w:t>
      </w:r>
      <w:r>
        <w:rPr>
          <w:rFonts w:hint="eastAsia" w:ascii="仿宋" w:hAnsi="仿宋" w:eastAsia="仿宋" w:cs="仿宋"/>
          <w:color w:val="000000"/>
          <w:kern w:val="0"/>
          <w:sz w:val="27"/>
          <w:szCs w:val="27"/>
          <w:u w:val="none"/>
          <w:lang w:val="en-US" w:eastAsia="zh-CN"/>
        </w:rPr>
        <w:t>50</w:t>
      </w:r>
      <w:r>
        <w:rPr>
          <w:rFonts w:hint="eastAsia" w:ascii="仿宋" w:hAnsi="仿宋" w:eastAsia="仿宋" w:cs="仿宋"/>
          <w:color w:val="000000"/>
          <w:kern w:val="0"/>
          <w:sz w:val="27"/>
          <w:szCs w:val="27"/>
          <w:u w:val="none"/>
        </w:rPr>
        <w:t>万元，执行数为50万元，完成预算的</w:t>
      </w:r>
      <w:r>
        <w:rPr>
          <w:rFonts w:hint="eastAsia" w:ascii="仿宋" w:hAnsi="仿宋" w:eastAsia="仿宋" w:cs="仿宋"/>
          <w:color w:val="000000"/>
          <w:kern w:val="0"/>
          <w:sz w:val="27"/>
          <w:szCs w:val="27"/>
          <w:u w:val="none"/>
          <w:lang w:val="en-US" w:eastAsia="zh-CN"/>
        </w:rPr>
        <w:t>10</w:t>
      </w:r>
      <w:r>
        <w:rPr>
          <w:rFonts w:hint="eastAsia" w:ascii="仿宋" w:hAnsi="仿宋" w:eastAsia="仿宋" w:cs="仿宋"/>
          <w:color w:val="000000"/>
          <w:kern w:val="0"/>
          <w:sz w:val="27"/>
          <w:szCs w:val="27"/>
          <w:u w:val="none"/>
        </w:rPr>
        <w:t>0%。项目绩效目标完成情况</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核心绩效指标完成良好，已完成城区建成区重点区域体检覆盖，形成城市基础设施短板、生态环境质量等专项体检报告，提出的20余项整改建议中15项已纳入城市更新规划，为城市规划优化提供了数据支撑，达到预期绩效目标。发现的主要问题及原因：</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体检范围存在盲区，部分偏远街道未纳入，因前期调研未充分衔接街道需求；</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资金使用进度不均衡，前期体检采样阶段支出较慢，因第三方机构招标流程耗时较长。下一步改进措施：一是优化前期调研流程，联合街道办摸排需求，确保体检范围全覆盖；二是提前启动第三方机构招标筹备，压缩流程耗时，同步建立资金使用周跟踪机制，保障支出均衡</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三是完善体检成果反馈机制，定期对接规划、城管等部门，提升整改建议转化率。</w:t>
      </w:r>
    </w:p>
    <w:p>
      <w:pPr>
        <w:keepNext w:val="0"/>
        <w:keepLines w:val="0"/>
        <w:pageBreakBefore w:val="0"/>
        <w:widowControl/>
        <w:kinsoku/>
        <w:wordWrap/>
        <w:overflowPunct/>
        <w:topLinePunct w:val="0"/>
        <w:autoSpaceDE/>
        <w:autoSpaceDN/>
        <w:bidi w:val="0"/>
        <w:adjustRightInd/>
        <w:snapToGrid/>
        <w:ind w:firstLine="540" w:firstLineChars="200"/>
        <w:textAlignment w:val="auto"/>
        <w:rPr>
          <w:rFonts w:hint="eastAsia" w:ascii="仿宋" w:hAnsi="仿宋" w:eastAsia="仿宋" w:cs="仿宋"/>
          <w:kern w:val="0"/>
          <w:sz w:val="24"/>
          <w:u w:val="none"/>
        </w:rPr>
      </w:pPr>
      <w:r>
        <w:rPr>
          <w:rFonts w:hint="eastAsia" w:ascii="仿宋" w:hAnsi="仿宋" w:eastAsia="仿宋" w:cs="仿宋"/>
          <w:color w:val="000000"/>
          <w:kern w:val="0"/>
          <w:sz w:val="27"/>
          <w:szCs w:val="27"/>
          <w:u w:val="none"/>
          <w:lang w:val="en-US" w:eastAsia="zh-CN"/>
        </w:rPr>
        <w:t>5.办公大楼地籍测绘房产测绘规划核实实测现状图项目经费</w:t>
      </w:r>
      <w:r>
        <w:rPr>
          <w:rFonts w:hint="eastAsia" w:ascii="仿宋" w:hAnsi="仿宋" w:eastAsia="仿宋" w:cs="仿宋"/>
          <w:color w:val="000000"/>
          <w:kern w:val="0"/>
          <w:sz w:val="27"/>
          <w:szCs w:val="27"/>
          <w:u w:val="none"/>
        </w:rPr>
        <w:t>自评综述</w:t>
      </w:r>
      <w:r>
        <w:rPr>
          <w:rFonts w:hint="eastAsia" w:ascii="仿宋" w:hAnsi="仿宋" w:eastAsia="仿宋" w:cs="仿宋"/>
          <w:color w:val="000000"/>
          <w:kern w:val="0"/>
          <w:sz w:val="27"/>
          <w:szCs w:val="27"/>
          <w:u w:val="none"/>
          <w:lang w:val="en-US" w:eastAsia="zh-CN"/>
        </w:rPr>
        <w:t>：</w:t>
      </w:r>
      <w:r>
        <w:rPr>
          <w:rFonts w:hint="eastAsia" w:ascii="仿宋" w:hAnsi="仿宋" w:eastAsia="仿宋" w:cs="仿宋"/>
          <w:color w:val="000000"/>
          <w:kern w:val="0"/>
          <w:sz w:val="27"/>
          <w:szCs w:val="27"/>
          <w:u w:val="none"/>
        </w:rPr>
        <w:t>根据年初设定的绩效目标，项目自评得分</w:t>
      </w:r>
      <w:r>
        <w:rPr>
          <w:rFonts w:hint="eastAsia" w:ascii="仿宋" w:hAnsi="仿宋" w:eastAsia="仿宋" w:cs="仿宋"/>
          <w:color w:val="000000"/>
          <w:kern w:val="0"/>
          <w:sz w:val="27"/>
          <w:szCs w:val="27"/>
          <w:u w:val="none"/>
          <w:lang w:val="en-US" w:eastAsia="zh-CN"/>
        </w:rPr>
        <w:t>100</w:t>
      </w:r>
      <w:r>
        <w:rPr>
          <w:rFonts w:hint="eastAsia" w:ascii="仿宋" w:hAnsi="仿宋" w:eastAsia="仿宋" w:cs="仿宋"/>
          <w:color w:val="000000"/>
          <w:kern w:val="0"/>
          <w:sz w:val="27"/>
          <w:szCs w:val="27"/>
          <w:u w:val="none"/>
        </w:rPr>
        <w:t>分。全年预算数为</w:t>
      </w:r>
      <w:r>
        <w:rPr>
          <w:rFonts w:hint="eastAsia" w:ascii="仿宋" w:hAnsi="仿宋" w:eastAsia="仿宋" w:cs="仿宋"/>
          <w:color w:val="000000"/>
          <w:kern w:val="0"/>
          <w:sz w:val="27"/>
          <w:szCs w:val="27"/>
          <w:u w:val="none"/>
          <w:lang w:val="en-US" w:eastAsia="zh-CN"/>
        </w:rPr>
        <w:t>5</w:t>
      </w:r>
      <w:r>
        <w:rPr>
          <w:rFonts w:hint="eastAsia" w:ascii="仿宋" w:hAnsi="仿宋" w:eastAsia="仿宋" w:cs="仿宋"/>
          <w:color w:val="000000"/>
          <w:kern w:val="0"/>
          <w:sz w:val="27"/>
          <w:szCs w:val="27"/>
          <w:u w:val="none"/>
        </w:rPr>
        <w:t>万元，执行数为5万元，完成预算的</w:t>
      </w:r>
      <w:r>
        <w:rPr>
          <w:rFonts w:hint="eastAsia" w:ascii="仿宋" w:hAnsi="仿宋" w:eastAsia="仿宋" w:cs="仿宋"/>
          <w:color w:val="000000"/>
          <w:kern w:val="0"/>
          <w:sz w:val="27"/>
          <w:szCs w:val="27"/>
          <w:u w:val="none"/>
          <w:lang w:val="en-US" w:eastAsia="zh-CN"/>
        </w:rPr>
        <w:t>10</w:t>
      </w:r>
      <w:r>
        <w:rPr>
          <w:rFonts w:hint="eastAsia" w:ascii="仿宋" w:hAnsi="仿宋" w:eastAsia="仿宋" w:cs="仿宋"/>
          <w:color w:val="000000"/>
          <w:kern w:val="0"/>
          <w:sz w:val="27"/>
          <w:szCs w:val="27"/>
          <w:u w:val="none"/>
        </w:rPr>
        <w:t>0%。项目绩效目标完成情况</w:t>
      </w:r>
      <w:r>
        <w:rPr>
          <w:rFonts w:hint="eastAsia" w:ascii="仿宋" w:hAnsi="仿宋" w:eastAsia="仿宋" w:cs="仿宋"/>
          <w:color w:val="000000"/>
          <w:kern w:val="0"/>
          <w:sz w:val="27"/>
          <w:szCs w:val="27"/>
          <w:u w:val="none"/>
          <w:lang w:eastAsia="zh-CN"/>
        </w:rPr>
        <w:t>：核心绩效指标完成良好，已完成办公大楼地籍测绘、房产测绘，并出具规划核实实测现状图，成果已交付相关科室，为办公大楼产权登记、后续规划调整提供了精准数据支撑，达到预期绩效目标。</w:t>
      </w:r>
      <w:r>
        <w:rPr>
          <w:rFonts w:hint="eastAsia" w:ascii="仿宋" w:hAnsi="仿宋" w:eastAsia="仿宋" w:cs="仿宋"/>
          <w:color w:val="000000"/>
          <w:kern w:val="0"/>
          <w:sz w:val="27"/>
          <w:szCs w:val="27"/>
          <w:u w:val="none"/>
        </w:rPr>
        <w:t>发现的主要问题及原因：</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1</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测绘数据与历史档案衔接存在偏差，因前期历史档案调取不完整；</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lang w:val="en-US" w:eastAsia="zh-CN"/>
        </w:rPr>
        <w:t>2</w:t>
      </w:r>
      <w:r>
        <w:rPr>
          <w:rFonts w:hint="eastAsia" w:ascii="仿宋" w:hAnsi="仿宋" w:eastAsia="仿宋" w:cs="仿宋"/>
          <w:color w:val="000000"/>
          <w:kern w:val="0"/>
          <w:sz w:val="27"/>
          <w:szCs w:val="27"/>
          <w:u w:val="none"/>
          <w:lang w:eastAsia="zh-CN"/>
        </w:rPr>
        <w:t>）</w:t>
      </w:r>
      <w:r>
        <w:rPr>
          <w:rFonts w:hint="eastAsia" w:ascii="仿宋" w:hAnsi="仿宋" w:eastAsia="仿宋" w:cs="仿宋"/>
          <w:color w:val="000000"/>
          <w:kern w:val="0"/>
          <w:sz w:val="27"/>
          <w:szCs w:val="27"/>
          <w:u w:val="none"/>
        </w:rPr>
        <w:t>资金支付存在滞后，因测绘成果验收需多部门联审，流程耗时较长。下一步改进措施：</w:t>
      </w:r>
      <w:r>
        <w:rPr>
          <w:rFonts w:hint="eastAsia" w:ascii="仿宋" w:hAnsi="仿宋" w:eastAsia="仿宋" w:cs="仿宋"/>
          <w:color w:val="000000"/>
          <w:kern w:val="0"/>
          <w:sz w:val="27"/>
          <w:szCs w:val="27"/>
          <w:u w:val="none"/>
          <w:lang w:val="en-US" w:eastAsia="zh-CN"/>
        </w:rPr>
        <w:t>一是</w:t>
      </w:r>
      <w:r>
        <w:rPr>
          <w:rFonts w:hint="eastAsia" w:ascii="仿宋" w:hAnsi="仿宋" w:eastAsia="仿宋" w:cs="仿宋"/>
          <w:color w:val="000000"/>
          <w:kern w:val="0"/>
          <w:sz w:val="27"/>
          <w:szCs w:val="27"/>
          <w:u w:val="none"/>
        </w:rPr>
        <w:t>提前对接档案管理部门，全面调取项目历史资料并逐一核对，确保数据衔接准确；</w:t>
      </w:r>
      <w:r>
        <w:rPr>
          <w:rFonts w:hint="eastAsia" w:ascii="仿宋" w:hAnsi="仿宋" w:eastAsia="仿宋" w:cs="仿宋"/>
          <w:color w:val="000000"/>
          <w:kern w:val="0"/>
          <w:sz w:val="27"/>
          <w:szCs w:val="27"/>
          <w:u w:val="none"/>
          <w:lang w:val="en-US" w:eastAsia="zh-CN"/>
        </w:rPr>
        <w:t>二是</w:t>
      </w:r>
      <w:r>
        <w:rPr>
          <w:rFonts w:hint="eastAsia" w:ascii="仿宋" w:hAnsi="仿宋" w:eastAsia="仿宋" w:cs="仿宋"/>
          <w:color w:val="000000"/>
          <w:kern w:val="0"/>
          <w:sz w:val="27"/>
          <w:szCs w:val="27"/>
          <w:u w:val="none"/>
        </w:rPr>
        <w:t>优化验收流程，明确各部门审核时限，建立“一周一跟踪” 支付机制，保障资金及时拨付；</w:t>
      </w:r>
      <w:r>
        <w:rPr>
          <w:rFonts w:hint="eastAsia" w:ascii="仿宋" w:hAnsi="仿宋" w:eastAsia="仿宋" w:cs="仿宋"/>
          <w:color w:val="000000"/>
          <w:kern w:val="0"/>
          <w:sz w:val="27"/>
          <w:szCs w:val="27"/>
          <w:u w:val="none"/>
          <w:lang w:val="en-US" w:eastAsia="zh-CN"/>
        </w:rPr>
        <w:t>三是</w:t>
      </w:r>
      <w:r>
        <w:rPr>
          <w:rFonts w:hint="eastAsia" w:ascii="仿宋" w:hAnsi="仿宋" w:eastAsia="仿宋" w:cs="仿宋"/>
          <w:color w:val="000000"/>
          <w:kern w:val="0"/>
          <w:sz w:val="27"/>
          <w:szCs w:val="27"/>
          <w:u w:val="none"/>
        </w:rPr>
        <w:t>建立测绘成果复核制度，联合专业机构二次校验，提升数据精准度。</w:t>
      </w:r>
    </w:p>
    <w:p>
      <w:pPr>
        <w:widowControl/>
        <w:spacing w:before="240" w:after="240"/>
        <w:jc w:val="left"/>
        <w:rPr>
          <w:rFonts w:ascii="kai_ti_gb2312" w:hAnsi="kai_ti_gb2312" w:eastAsia="kai_ti_gb2312" w:cs="kai_ti_gb2312"/>
          <w:b/>
          <w:bCs/>
          <w:color w:val="000000"/>
          <w:kern w:val="0"/>
          <w:sz w:val="27"/>
          <w:szCs w:val="27"/>
        </w:rPr>
      </w:pPr>
      <w:r>
        <w:rPr>
          <w:rFonts w:hint="eastAsia" w:ascii="kai_ti_gb2312" w:hAnsi="kai_ti_gb2312" w:eastAsia="kai_ti_gb2312" w:cs="kai_ti_gb2312"/>
          <w:b/>
          <w:bCs/>
          <w:color w:val="000000"/>
          <w:kern w:val="0"/>
          <w:sz w:val="27"/>
          <w:szCs w:val="27"/>
          <w:lang w:val="en-US" w:eastAsia="zh-CN"/>
        </w:rPr>
        <w:t>（三）</w:t>
      </w:r>
      <w:r>
        <w:rPr>
          <w:rFonts w:ascii="kai_ti_gb2312" w:hAnsi="kai_ti_gb2312" w:eastAsia="kai_ti_gb2312" w:cs="kai_ti_gb2312"/>
          <w:b/>
          <w:bCs/>
          <w:color w:val="000000"/>
          <w:kern w:val="0"/>
          <w:sz w:val="27"/>
          <w:szCs w:val="27"/>
        </w:rPr>
        <w:t>部门项目绩效评价结果。</w:t>
      </w:r>
    </w:p>
    <w:p>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6179185" cy="4944745"/>
            <wp:effectExtent l="0" t="0" r="5715" b="8255"/>
            <wp:docPr id="2" name="图片 2" descr="项目支出绩效自评表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项目支出绩效自评表_01"/>
                    <pic:cNvPicPr>
                      <a:picLocks noChangeAspect="1"/>
                    </pic:cNvPicPr>
                  </pic:nvPicPr>
                  <pic:blipFill>
                    <a:blip r:embed="rId8"/>
                    <a:srcRect t="22235" b="20996"/>
                    <a:stretch>
                      <a:fillRect/>
                    </a:stretch>
                  </pic:blipFill>
                  <pic:spPr>
                    <a:xfrm>
                      <a:off x="0" y="0"/>
                      <a:ext cx="6179185" cy="4944745"/>
                    </a:xfrm>
                    <a:prstGeom prst="rect">
                      <a:avLst/>
                    </a:prstGeom>
                  </pic:spPr>
                </pic:pic>
              </a:graphicData>
            </a:graphic>
          </wp:inline>
        </w:drawing>
      </w:r>
    </w:p>
    <w:p>
      <w:pPr>
        <w:pStyle w:val="2"/>
        <w:ind w:left="0" w:leftChars="0" w:firstLine="0" w:firstLineChars="0"/>
        <w:rPr>
          <w:rFonts w:hint="eastAsia" w:eastAsia="宋体"/>
          <w:lang w:eastAsia="zh-CN"/>
        </w:rPr>
      </w:pPr>
    </w:p>
    <w:p>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6179185" cy="4219575"/>
            <wp:effectExtent l="0" t="0" r="0" b="0"/>
            <wp:docPr id="4" name="图片 4" descr="项目支出绩效自评表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项目支出绩效自评表_02"/>
                    <pic:cNvPicPr>
                      <a:picLocks noChangeAspect="1"/>
                    </pic:cNvPicPr>
                  </pic:nvPicPr>
                  <pic:blipFill>
                    <a:blip r:embed="rId9"/>
                    <a:srcRect t="23473" b="23759"/>
                    <a:stretch>
                      <a:fillRect/>
                    </a:stretch>
                  </pic:blipFill>
                  <pic:spPr>
                    <a:xfrm>
                      <a:off x="0" y="0"/>
                      <a:ext cx="6179185" cy="4219575"/>
                    </a:xfrm>
                    <a:prstGeom prst="rect">
                      <a:avLst/>
                    </a:prstGeom>
                  </pic:spPr>
                </pic:pic>
              </a:graphicData>
            </a:graphic>
          </wp:inline>
        </w:drawing>
      </w:r>
    </w:p>
    <w:p>
      <w:pPr>
        <w:pStyle w:val="2"/>
        <w:ind w:left="0" w:leftChars="0" w:firstLine="0" w:firstLineChars="0"/>
        <w:rPr>
          <w:rFonts w:hint="eastAsia" w:eastAsia="宋体"/>
          <w:lang w:eastAsia="zh-CN"/>
        </w:rPr>
      </w:pPr>
    </w:p>
    <w:p>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6179185" cy="4017010"/>
            <wp:effectExtent l="0" t="0" r="0" b="0"/>
            <wp:docPr id="5" name="图片 5" descr="项目支出绩效自评表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项目支出绩效自评表_03"/>
                    <pic:cNvPicPr>
                      <a:picLocks noChangeAspect="1"/>
                    </pic:cNvPicPr>
                  </pic:nvPicPr>
                  <pic:blipFill>
                    <a:blip r:embed="rId10"/>
                    <a:srcRect t="24720" b="25046"/>
                    <a:stretch>
                      <a:fillRect/>
                    </a:stretch>
                  </pic:blipFill>
                  <pic:spPr>
                    <a:xfrm>
                      <a:off x="0" y="0"/>
                      <a:ext cx="6179185" cy="4017010"/>
                    </a:xfrm>
                    <a:prstGeom prst="rect">
                      <a:avLst/>
                    </a:prstGeom>
                  </pic:spPr>
                </pic:pic>
              </a:graphicData>
            </a:graphic>
          </wp:inline>
        </w:drawing>
      </w:r>
    </w:p>
    <w:p>
      <w:pPr>
        <w:pStyle w:val="2"/>
        <w:ind w:left="0" w:leftChars="0" w:firstLine="0" w:firstLineChars="0"/>
        <w:rPr>
          <w:rFonts w:hint="eastAsia" w:eastAsia="宋体"/>
          <w:lang w:eastAsia="zh-CN"/>
        </w:rPr>
      </w:pPr>
    </w:p>
    <w:p>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6179185" cy="3891280"/>
            <wp:effectExtent l="0" t="0" r="0" b="0"/>
            <wp:docPr id="6" name="图片 6" descr="项目支出绩效自评表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项目支出绩效自评表_04"/>
                    <pic:cNvPicPr>
                      <a:picLocks noChangeAspect="1"/>
                    </pic:cNvPicPr>
                  </pic:nvPicPr>
                  <pic:blipFill>
                    <a:blip r:embed="rId11"/>
                    <a:srcRect t="25062" b="26277"/>
                    <a:stretch>
                      <a:fillRect/>
                    </a:stretch>
                  </pic:blipFill>
                  <pic:spPr>
                    <a:xfrm>
                      <a:off x="0" y="0"/>
                      <a:ext cx="6179185" cy="3891280"/>
                    </a:xfrm>
                    <a:prstGeom prst="rect">
                      <a:avLst/>
                    </a:prstGeom>
                  </pic:spPr>
                </pic:pic>
              </a:graphicData>
            </a:graphic>
          </wp:inline>
        </w:drawing>
      </w:r>
    </w:p>
    <w:p>
      <w:pPr>
        <w:pStyle w:val="2"/>
        <w:ind w:left="0" w:leftChars="0" w:firstLine="0" w:firstLineChars="0"/>
        <w:rPr>
          <w:rFonts w:hint="eastAsia" w:eastAsia="宋体"/>
          <w:lang w:eastAsia="zh-CN"/>
        </w:rPr>
      </w:pPr>
    </w:p>
    <w:p>
      <w:pPr>
        <w:pStyle w:val="2"/>
        <w:ind w:left="0" w:leftChars="0" w:firstLine="0" w:firstLineChars="0"/>
        <w:rPr>
          <w:rFonts w:hint="eastAsia" w:eastAsia="宋体"/>
          <w:lang w:eastAsia="zh-CN"/>
        </w:rPr>
      </w:pPr>
    </w:p>
    <w:p>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6179185" cy="3859530"/>
            <wp:effectExtent l="0" t="0" r="0" b="0"/>
            <wp:docPr id="7" name="图片 7" descr="项目支出绩效自评表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项目支出绩效自评表_05"/>
                    <pic:cNvPicPr>
                      <a:picLocks noChangeAspect="1"/>
                    </pic:cNvPicPr>
                  </pic:nvPicPr>
                  <pic:blipFill>
                    <a:blip r:embed="rId12"/>
                    <a:srcRect t="26142" b="25594"/>
                    <a:stretch>
                      <a:fillRect/>
                    </a:stretch>
                  </pic:blipFill>
                  <pic:spPr>
                    <a:xfrm>
                      <a:off x="0" y="0"/>
                      <a:ext cx="6179185" cy="385953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jc w:val="left"/>
        <w:textAlignment w:val="auto"/>
        <w:rPr>
          <w:rFonts w:hint="eastAsia" w:ascii="仿宋" w:hAnsi="仿宋" w:eastAsia="仿宋" w:cs="仿宋"/>
          <w:kern w:val="0"/>
          <w:sz w:val="24"/>
          <w:u w:val="none"/>
        </w:rPr>
      </w:pPr>
      <w:r>
        <w:rPr>
          <w:rFonts w:ascii="仿宋_GB2312" w:hAnsi="仿宋_GB2312" w:eastAsia="仿宋_GB2312" w:cs="仿宋_GB2312"/>
          <w:kern w:val="0"/>
          <w:sz w:val="27"/>
          <w:szCs w:val="27"/>
        </w:rPr>
        <w:t xml:space="preserve">    </w:t>
      </w:r>
    </w:p>
    <w:p>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第三部分 名词解释</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一、财政拨款收入：</w:t>
      </w:r>
      <w:r>
        <w:rPr>
          <w:rFonts w:ascii="仿宋_GB2312" w:hAnsi="仿宋_GB2312" w:eastAsia="仿宋_GB2312" w:cs="仿宋_GB2312"/>
          <w:kern w:val="0"/>
          <w:sz w:val="27"/>
          <w:szCs w:val="27"/>
        </w:rPr>
        <w:t>从同级财政部门取得的各类财政拨款，包括一般公共预算财政拨款、政府性基金预算财政拨款、国有资本经营预算财政拨款。</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二、上级补助收入：</w:t>
      </w:r>
      <w:r>
        <w:rPr>
          <w:rFonts w:ascii="仿宋_GB2312" w:hAnsi="仿宋_GB2312" w:eastAsia="仿宋_GB2312" w:cs="仿宋_GB2312"/>
          <w:kern w:val="0"/>
          <w:sz w:val="27"/>
          <w:szCs w:val="27"/>
        </w:rPr>
        <w:t>指事业单位从主管部门和上级单位取得的非财政补助收入。</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三、财政专户管理教育收费：</w:t>
      </w:r>
      <w:r>
        <w:rPr>
          <w:rFonts w:ascii="仿宋_GB2312" w:hAnsi="仿宋_GB2312" w:eastAsia="仿宋_GB2312" w:cs="仿宋_GB2312"/>
          <w:kern w:val="0"/>
          <w:sz w:val="27"/>
          <w:szCs w:val="27"/>
        </w:rPr>
        <w:t>指缴入财政专户、实行专项管理的高中以上学费、住宿费、高校委托培养费、函大、电大、夜大及短训班培训费等教育收费。</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四、事业收入：</w:t>
      </w:r>
      <w:r>
        <w:rPr>
          <w:rFonts w:ascii="仿宋_GB2312" w:hAnsi="仿宋_GB2312" w:eastAsia="仿宋_GB2312" w:cs="仿宋_GB2312"/>
          <w:kern w:val="0"/>
          <w:sz w:val="27"/>
          <w:szCs w:val="27"/>
        </w:rPr>
        <w:t>指事业单位开展专业业务活动及其辅助活动取得的收入。</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五、经营收入：</w:t>
      </w:r>
      <w:r>
        <w:rPr>
          <w:rFonts w:ascii="仿宋_GB2312" w:hAnsi="仿宋_GB2312" w:eastAsia="仿宋_GB2312" w:cs="仿宋_GB2312"/>
          <w:kern w:val="0"/>
          <w:sz w:val="27"/>
          <w:szCs w:val="27"/>
        </w:rPr>
        <w:t>指事业单位在专业业务活动及其辅助活动之外开展非独立核算经营活动取得的收入。</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六、附属单位上缴收入：</w:t>
      </w:r>
      <w:r>
        <w:rPr>
          <w:rFonts w:ascii="仿宋_GB2312" w:hAnsi="仿宋_GB2312" w:eastAsia="仿宋_GB2312" w:cs="仿宋_GB2312"/>
          <w:kern w:val="0"/>
          <w:sz w:val="27"/>
          <w:szCs w:val="27"/>
        </w:rPr>
        <w:t>指事业单位取得附属独立核算单位按照有关规定上缴的收入。</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七、其他收入：</w:t>
      </w:r>
      <w:r>
        <w:rPr>
          <w:rFonts w:ascii="仿宋_GB2312" w:hAnsi="仿宋_GB2312" w:eastAsia="仿宋_GB2312" w:cs="仿宋_GB2312"/>
          <w:kern w:val="0"/>
          <w:sz w:val="27"/>
          <w:szCs w:val="27"/>
        </w:rPr>
        <w:t>取得的除上述财政拨款收入、上级补助收入、事业收入、经营收入、附属单位上缴收入等以外的各项收入。</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八、使用非财政拨款结余（含专用结余）：</w:t>
      </w:r>
      <w:r>
        <w:rPr>
          <w:rFonts w:ascii="仿宋_GB2312" w:hAnsi="仿宋_GB2312" w:eastAsia="仿宋_GB2312" w:cs="仿宋_GB2312"/>
          <w:kern w:val="0"/>
          <w:sz w:val="27"/>
          <w:szCs w:val="27"/>
        </w:rPr>
        <w:t>指事业单位按照预算管理要求使用非财政拨款结余</w:t>
      </w:r>
      <w:r>
        <w:rPr>
          <w:rFonts w:ascii="仿宋_GB2312" w:hAnsi="仿宋_GB2312" w:eastAsia="仿宋_GB2312" w:cs="仿宋_GB2312"/>
          <w:color w:val="000000"/>
          <w:kern w:val="0"/>
          <w:sz w:val="27"/>
          <w:szCs w:val="27"/>
        </w:rPr>
        <w:t>弥补收支差额的金额，以及使用专用结余安排支出的金额。</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九、年初结转和结余：</w:t>
      </w:r>
      <w:r>
        <w:rPr>
          <w:rFonts w:ascii="仿宋_GB2312" w:hAnsi="仿宋_GB2312" w:eastAsia="仿宋_GB2312" w:cs="仿宋_GB2312"/>
          <w:kern w:val="0"/>
          <w:sz w:val="27"/>
          <w:szCs w:val="27"/>
        </w:rPr>
        <w:t>指单位上年结转本年使用的基本支出结转、项目支出结转和结余、经营结余。</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十、结余分配：</w:t>
      </w:r>
      <w:r>
        <w:rPr>
          <w:rFonts w:ascii="仿宋_GB2312" w:hAnsi="仿宋_GB2312" w:eastAsia="仿宋_GB2312" w:cs="仿宋_GB2312"/>
          <w:kern w:val="0"/>
          <w:sz w:val="27"/>
          <w:szCs w:val="27"/>
        </w:rPr>
        <w:t>指单位按规定缴纳企业所得税以及从非财政拨款结余或经营结余中提取各类结余的情况。</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十一、年末结转和结余资金：</w:t>
      </w:r>
      <w:r>
        <w:rPr>
          <w:rFonts w:ascii="仿宋_GB2312" w:hAnsi="仿宋_GB2312" w:eastAsia="仿宋_GB2312" w:cs="仿宋_GB2312"/>
          <w:kern w:val="0"/>
          <w:sz w:val="27"/>
          <w:szCs w:val="27"/>
        </w:rPr>
        <w:t>指单位结转下年的基本支出结转、项目支出结转和结余、经营结余。</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十二、基本支出：</w:t>
      </w:r>
      <w:r>
        <w:rPr>
          <w:rFonts w:ascii="仿宋_GB2312" w:hAnsi="仿宋_GB2312" w:eastAsia="仿宋_GB2312" w:cs="仿宋_GB2312"/>
          <w:kern w:val="0"/>
          <w:sz w:val="27"/>
          <w:szCs w:val="27"/>
        </w:rPr>
        <w:t>指为保障机构正常运转、完成日常工作任务所发生的支出，包括人员经费和公用经费。</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十三、项目支出：</w:t>
      </w:r>
      <w:r>
        <w:rPr>
          <w:rFonts w:ascii="仿宋_GB2312" w:hAnsi="仿宋_GB2312" w:eastAsia="仿宋_GB2312" w:cs="仿宋_GB2312"/>
          <w:kern w:val="0"/>
          <w:sz w:val="27"/>
          <w:szCs w:val="27"/>
        </w:rPr>
        <w:t>指在为完成特定的行政工作任务或事业发展目标所发生的支出。</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十四、上缴上级支出：</w:t>
      </w:r>
      <w:r>
        <w:rPr>
          <w:rFonts w:ascii="仿宋_GB2312" w:hAnsi="仿宋_GB2312" w:eastAsia="仿宋_GB2312" w:cs="仿宋_GB2312"/>
          <w:kern w:val="0"/>
          <w:sz w:val="27"/>
          <w:szCs w:val="27"/>
        </w:rPr>
        <w:t>指事业单位按照财政部门和主管部门的规定上缴上级单位的支出。</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十五、经营支出：</w:t>
      </w:r>
      <w:r>
        <w:rPr>
          <w:rFonts w:ascii="仿宋_GB2312" w:hAnsi="仿宋_GB2312" w:eastAsia="仿宋_GB2312" w:cs="仿宋_GB2312"/>
          <w:kern w:val="0"/>
          <w:sz w:val="27"/>
          <w:szCs w:val="27"/>
        </w:rPr>
        <w:t>指事业单位在专业业务活动及其辅助活动之外开展非独立核算经营活动发生的支出。</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十六、对附属单位补助支出：</w:t>
      </w:r>
      <w:r>
        <w:rPr>
          <w:rFonts w:ascii="仿宋_GB2312" w:hAnsi="仿宋_GB2312" w:eastAsia="仿宋_GB2312" w:cs="仿宋_GB2312"/>
          <w:kern w:val="0"/>
          <w:sz w:val="27"/>
          <w:szCs w:val="27"/>
        </w:rPr>
        <w:t>指事业单位用财政拨款收入之外的收入对附属单位补助发生的支出。</w:t>
      </w:r>
    </w:p>
    <w:p>
      <w:pPr>
        <w:keepNext w:val="0"/>
        <w:keepLines w:val="0"/>
        <w:pageBreakBefore w:val="0"/>
        <w:widowControl/>
        <w:kinsoku/>
        <w:wordWrap/>
        <w:overflowPunct/>
        <w:topLinePunct w:val="0"/>
        <w:autoSpaceDE/>
        <w:autoSpaceDN/>
        <w:bidi w:val="0"/>
        <w:adjustRightInd/>
        <w:snapToGrid/>
        <w:jc w:val="left"/>
        <w:textAlignment w:val="auto"/>
        <w:rPr>
          <w:rFonts w:ascii="Times New Roman" w:hAnsi="Times New Roman" w:eastAsia="Times New Roman" w:cs="Times New Roman"/>
          <w:kern w:val="0"/>
          <w:sz w:val="24"/>
        </w:rPr>
      </w:pPr>
      <w:r>
        <w:rPr>
          <w:rFonts w:ascii="仿宋_GB2312" w:hAnsi="仿宋_GB2312" w:eastAsia="仿宋_GB2312" w:cs="仿宋_GB2312"/>
          <w:b/>
          <w:bCs/>
          <w:kern w:val="0"/>
          <w:sz w:val="27"/>
          <w:szCs w:val="27"/>
        </w:rPr>
        <w:t>    十七、“三公”经费：</w:t>
      </w:r>
      <w:r>
        <w:rPr>
          <w:rFonts w:ascii="仿宋_GB2312" w:hAnsi="仿宋_GB2312" w:eastAsia="仿宋_GB2312" w:cs="仿宋_GB2312"/>
          <w:kern w:val="0"/>
          <w:sz w:val="27"/>
          <w:szCs w:val="27"/>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pPr>
        <w:keepNext w:val="0"/>
        <w:keepLines w:val="0"/>
        <w:pageBreakBefore w:val="0"/>
        <w:widowControl/>
        <w:kinsoku/>
        <w:wordWrap/>
        <w:overflowPunct/>
        <w:topLinePunct w:val="0"/>
        <w:autoSpaceDE/>
        <w:autoSpaceDN/>
        <w:bidi w:val="0"/>
        <w:adjustRightInd/>
        <w:snapToGrid/>
        <w:ind w:firstLine="542" w:firstLineChars="200"/>
        <w:jc w:val="left"/>
        <w:textAlignment w:val="auto"/>
        <w:rPr>
          <w:rFonts w:ascii="仿宋_GB2312" w:hAnsi="仿宋_GB2312" w:eastAsia="仿宋_GB2312" w:cs="仿宋_GB2312"/>
          <w:kern w:val="0"/>
          <w:sz w:val="27"/>
          <w:szCs w:val="27"/>
        </w:rPr>
      </w:pPr>
      <w:r>
        <w:rPr>
          <w:rFonts w:ascii="仿宋_GB2312" w:hAnsi="仿宋_GB2312" w:eastAsia="仿宋_GB2312" w:cs="仿宋_GB2312"/>
          <w:b/>
          <w:bCs/>
          <w:kern w:val="0"/>
          <w:sz w:val="27"/>
          <w:szCs w:val="27"/>
        </w:rPr>
        <w:t>十八、机关运行经费：</w:t>
      </w:r>
      <w:r>
        <w:rPr>
          <w:rFonts w:ascii="仿宋_GB2312" w:hAnsi="仿宋_GB2312" w:eastAsia="仿宋_GB2312" w:cs="仿宋_GB2312"/>
          <w:color w:val="000000"/>
          <w:kern w:val="0"/>
          <w:sz w:val="27"/>
          <w:szCs w:val="27"/>
        </w:rPr>
        <w:t>指行政单位和参照公务员法管理的事业单位财政拨款</w:t>
      </w:r>
      <w:r>
        <w:rPr>
          <w:rFonts w:ascii="仿宋_GB2312" w:hAnsi="仿宋_GB2312" w:eastAsia="仿宋_GB2312" w:cs="仿宋_GB2312"/>
          <w:kern w:val="0"/>
          <w:sz w:val="27"/>
          <w:szCs w:val="27"/>
        </w:rPr>
        <w:t>基本支出中的公用经费支出，包括办公及印刷费、邮电费、差旅费、会议费、福利费、日常维修费、专用材料及一般设备购置费、办公用房水电费、办公用房取暖费、办公用房物业管理费、公务用车运行维护费及其他费用等。</w:t>
      </w:r>
    </w:p>
    <w:p>
      <w:pPr>
        <w:pStyle w:val="2"/>
      </w:pPr>
    </w:p>
    <w:p>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第四部分 决算公开联系方式及信息反馈渠道</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本部门（单位）决算公开信息反馈和联系方式：</w:t>
      </w: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联系人：</w:t>
      </w:r>
      <w:r>
        <w:rPr>
          <w:rFonts w:ascii="仿宋_GB2312" w:hAnsi="仿宋_GB2312" w:eastAsia="仿宋_GB2312" w:cs="仿宋_GB2312"/>
          <w:kern w:val="0"/>
          <w:sz w:val="27"/>
          <w:szCs w:val="27"/>
          <w:u w:val="single"/>
        </w:rPr>
        <w:t>李桃 </w:t>
      </w:r>
      <w:r>
        <w:rPr>
          <w:rFonts w:ascii="仿宋_GB2312" w:hAnsi="仿宋_GB2312" w:eastAsia="仿宋_GB2312" w:cs="仿宋_GB2312"/>
          <w:kern w:val="0"/>
          <w:sz w:val="27"/>
          <w:szCs w:val="27"/>
        </w:rPr>
        <w:t>          联系电话：</w:t>
      </w:r>
      <w:r>
        <w:rPr>
          <w:rFonts w:ascii="仿宋_GB2312" w:hAnsi="仿宋_GB2312" w:eastAsia="仿宋_GB2312" w:cs="仿宋_GB2312"/>
          <w:kern w:val="0"/>
          <w:sz w:val="27"/>
          <w:szCs w:val="27"/>
          <w:u w:val="single"/>
        </w:rPr>
        <w:t>0478-8738655</w:t>
      </w:r>
    </w:p>
    <w:p>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fang_zheng_xiao_biao_song_ti" w:hAnsi="fang_zheng_xiao_biao_song_ti" w:eastAsia="fang_zheng_xiao_biao_song_ti" w:cs="fang_zheng_xiao_biao_song_ti"/>
          <w:kern w:val="0"/>
          <w:sz w:val="36"/>
          <w:szCs w:val="36"/>
        </w:rPr>
        <w:t>第五部分 部门（单位）决算表</w:t>
      </w:r>
    </w:p>
    <w:p>
      <w:pPr>
        <w:widowControl/>
        <w:spacing w:before="240" w:after="240"/>
        <w:jc w:val="center"/>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r>
        <w:rPr>
          <w:rFonts w:ascii="仿宋_GB2312" w:hAnsi="仿宋_GB2312" w:eastAsia="仿宋_GB2312" w:cs="仿宋_GB2312"/>
          <w:kern w:val="0"/>
          <w:sz w:val="27"/>
          <w:szCs w:val="27"/>
        </w:rPr>
        <w:t>    见附件。</w:t>
      </w: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p>
      <w:pPr>
        <w:widowControl/>
        <w:spacing w:before="240" w:after="240"/>
        <w:jc w:val="left"/>
        <w:rPr>
          <w:rFonts w:ascii="Times New Roman" w:hAnsi="Times New Roman" w:eastAsia="Times New Roman" w:cs="Times New Roman"/>
          <w:kern w:val="0"/>
          <w:sz w:val="24"/>
        </w:rPr>
      </w:pPr>
    </w:p>
    <w:bookmarkEnd w:id="0"/>
    <w:p>
      <w:pPr>
        <w:adjustRightInd w:val="0"/>
        <w:snapToGrid w:val="0"/>
        <w:rPr>
          <w:rFonts w:ascii="宋体" w:hAnsi="宋体"/>
          <w:b/>
          <w:sz w:val="32"/>
          <w:szCs w:val="32"/>
        </w:rPr>
      </w:pPr>
    </w:p>
    <w:p>
      <w:pPr>
        <w:adjustRightInd w:val="0"/>
        <w:snapToGrid w:val="0"/>
        <w:rPr>
          <w:rFonts w:ascii="宋体" w:hAnsi="宋体"/>
          <w:b/>
          <w:sz w:val="32"/>
          <w:szCs w:val="32"/>
        </w:rPr>
      </w:pPr>
    </w:p>
    <w:p>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fang_zheng_xiao_biao_song_ti">
    <w:altName w:val="Segoe Print"/>
    <w:panose1 w:val="00000000000000000000"/>
    <w:charset w:val="00"/>
    <w:family w:val="auto"/>
    <w:pitch w:val="default"/>
    <w:sig w:usb0="00000000" w:usb1="00000000" w:usb2="00000000" w:usb3="00000000" w:csb0="00000000" w:csb1="00000000"/>
  </w:font>
  <w:font w:name="times_new_roman">
    <w:altName w:val="Segoe Print"/>
    <w:panose1 w:val="00000000000000000000"/>
    <w:charset w:val="00"/>
    <w:family w:val="auto"/>
    <w:pitch w:val="default"/>
    <w:sig w:usb0="00000000" w:usb1="00000000" w:usb2="00000000" w:usb3="00000000" w:csb0="00000000" w:csb1="00000000"/>
  </w:font>
  <w:font w:name="kai_ti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 PAGE   \* MERGEFORMAT </w:instrText>
    </w:r>
    <w:r>
      <w:fldChar w:fldCharType="separate"/>
    </w:r>
    <w:r>
      <w:rPr>
        <w:lang w:val="zh-CN"/>
      </w:rPr>
      <w:t>26</w:t>
    </w:r>
    <w:r>
      <w:rPr>
        <w:lang w:val="zh-CN"/>
      </w:rPr>
      <w:fldChar w:fldCharType="end"/>
    </w:r>
  </w:p>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C3B899"/>
    <w:multiLevelType w:val="singleLevel"/>
    <w:tmpl w:val="DBC3B899"/>
    <w:lvl w:ilvl="0" w:tentative="0">
      <w:start w:val="1"/>
      <w:numFmt w:val="decimal"/>
      <w:lvlText w:val="%1."/>
      <w:lvlJc w:val="left"/>
      <w:pPr>
        <w:tabs>
          <w:tab w:val="left" w:pos="312"/>
        </w:tabs>
        <w:ind w:left="360" w:leftChars="0" w:firstLine="0" w:firstLineChars="0"/>
      </w:pPr>
    </w:lvl>
  </w:abstractNum>
  <w:abstractNum w:abstractNumId="1">
    <w:nsid w:val="1CD9A030"/>
    <w:multiLevelType w:val="singleLevel"/>
    <w:tmpl w:val="1CD9A030"/>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30CE0"/>
    <w:rsid w:val="00E3602E"/>
    <w:rsid w:val="00E60D6A"/>
    <w:rsid w:val="00E73321"/>
    <w:rsid w:val="00E77EC0"/>
    <w:rsid w:val="00E914C1"/>
    <w:rsid w:val="00E97C37"/>
    <w:rsid w:val="00EE533B"/>
    <w:rsid w:val="00F03A2B"/>
    <w:rsid w:val="00F04882"/>
    <w:rsid w:val="00F63327"/>
    <w:rsid w:val="00F80A29"/>
    <w:rsid w:val="00FA7CA5"/>
    <w:rsid w:val="00FD08EC"/>
    <w:rsid w:val="00FD7690"/>
    <w:rsid w:val="0C956BE7"/>
    <w:rsid w:val="0D2C5EE3"/>
    <w:rsid w:val="1A220AA6"/>
    <w:rsid w:val="1C27014F"/>
    <w:rsid w:val="2D436656"/>
    <w:rsid w:val="3612155D"/>
    <w:rsid w:val="42761634"/>
    <w:rsid w:val="444255B6"/>
    <w:rsid w:val="444B250A"/>
    <w:rsid w:val="51CD438B"/>
    <w:rsid w:val="587B12A0"/>
    <w:rsid w:val="5CD050B5"/>
    <w:rsid w:val="653A6AF9"/>
    <w:rsid w:val="67162E41"/>
    <w:rsid w:val="6F9D587B"/>
    <w:rsid w:val="71685DAD"/>
    <w:rsid w:val="7D300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29"/>
    <w:qFormat/>
    <w:uiPriority w:val="0"/>
    <w:pPr>
      <w:keepNext/>
      <w:keepLines/>
      <w:spacing w:before="260" w:after="260" w:line="416" w:lineRule="auto"/>
      <w:outlineLvl w:val="2"/>
    </w:pPr>
    <w:rPr>
      <w:b/>
      <w:bCs/>
      <w:sz w:val="32"/>
      <w:szCs w:val="32"/>
    </w:rPr>
  </w:style>
  <w:style w:type="paragraph" w:styleId="7">
    <w:name w:val="heading 4"/>
    <w:basedOn w:val="1"/>
    <w:next w:val="1"/>
    <w:link w:val="24"/>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0"/>
    <w:pPr>
      <w:ind w:firstLine="420" w:firstLineChars="200"/>
    </w:pPr>
  </w:style>
  <w:style w:type="paragraph" w:styleId="3">
    <w:name w:val="Body Text Indent"/>
    <w:basedOn w:val="1"/>
    <w:semiHidden/>
    <w:unhideWhenUsed/>
    <w:qFormat/>
    <w:uiPriority w:val="0"/>
    <w:pPr>
      <w:spacing w:after="120" w:afterLines="0" w:afterAutospacing="0"/>
      <w:ind w:left="420" w:leftChars="200"/>
    </w:pPr>
  </w:style>
  <w:style w:type="paragraph" w:styleId="8">
    <w:name w:val="toc 7"/>
    <w:basedOn w:val="1"/>
    <w:next w:val="1"/>
    <w:qFormat/>
    <w:uiPriority w:val="0"/>
    <w:pPr>
      <w:ind w:left="1260"/>
      <w:jc w:val="left"/>
    </w:pPr>
    <w:rPr>
      <w:sz w:val="20"/>
      <w:szCs w:val="20"/>
    </w:rPr>
  </w:style>
  <w:style w:type="paragraph" w:styleId="9">
    <w:name w:val="Document Map"/>
    <w:basedOn w:val="1"/>
    <w:qFormat/>
    <w:uiPriority w:val="0"/>
    <w:pPr>
      <w:shd w:val="clear" w:color="auto" w:fill="000080"/>
    </w:pPr>
  </w:style>
  <w:style w:type="paragraph" w:styleId="10">
    <w:name w:val="toc 5"/>
    <w:basedOn w:val="1"/>
    <w:next w:val="1"/>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qFormat/>
    <w:uiPriority w:val="0"/>
    <w:pPr>
      <w:ind w:left="1470"/>
      <w:jc w:val="left"/>
    </w:pPr>
    <w:rPr>
      <w:sz w:val="20"/>
      <w:szCs w:val="20"/>
    </w:rPr>
  </w:style>
  <w:style w:type="paragraph" w:styleId="13">
    <w:name w:val="footer"/>
    <w:basedOn w:val="1"/>
    <w:link w:val="27"/>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qFormat/>
    <w:uiPriority w:val="0"/>
    <w:pPr>
      <w:ind w:left="630"/>
      <w:jc w:val="left"/>
    </w:pPr>
    <w:rPr>
      <w:sz w:val="20"/>
      <w:szCs w:val="20"/>
    </w:rPr>
  </w:style>
  <w:style w:type="paragraph" w:styleId="17">
    <w:name w:val="toc 6"/>
    <w:basedOn w:val="1"/>
    <w:next w:val="1"/>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qFormat/>
    <w:uiPriority w:val="0"/>
    <w:pPr>
      <w:ind w:left="1680"/>
      <w:jc w:val="left"/>
    </w:pPr>
    <w:rPr>
      <w:sz w:val="20"/>
      <w:szCs w:val="20"/>
    </w:rPr>
  </w:style>
  <w:style w:type="character" w:styleId="22">
    <w:name w:val="page number"/>
    <w:basedOn w:val="21"/>
    <w:qFormat/>
    <w:uiPriority w:val="0"/>
  </w:style>
  <w:style w:type="character" w:styleId="23">
    <w:name w:val="Hyperlink"/>
    <w:basedOn w:val="21"/>
    <w:qFormat/>
    <w:uiPriority w:val="0"/>
    <w:rPr>
      <w:color w:val="0000FF"/>
      <w:u w:val="single"/>
    </w:rPr>
  </w:style>
  <w:style w:type="character" w:customStyle="1" w:styleId="24">
    <w:name w:val="标题 4 Char"/>
    <w:basedOn w:val="21"/>
    <w:link w:val="7"/>
    <w:qFormat/>
    <w:uiPriority w:val="0"/>
    <w:rPr>
      <w:rFonts w:ascii="Cambria" w:hAnsi="Cambria"/>
      <w:b/>
      <w:bCs/>
      <w:kern w:val="2"/>
      <w:sz w:val="28"/>
      <w:szCs w:val="28"/>
    </w:rPr>
  </w:style>
  <w:style w:type="paragraph" w:styleId="25">
    <w:name w:val="No Spacing"/>
    <w:link w:val="26"/>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6">
    <w:name w:val="无间隔 Char"/>
    <w:link w:val="25"/>
    <w:qFormat/>
    <w:locked/>
    <w:uiPriority w:val="0"/>
    <w:rPr>
      <w:rFonts w:eastAsia="仿宋_GB2312"/>
      <w:sz w:val="30"/>
      <w:szCs w:val="22"/>
      <w:lang w:bidi="ar-SA"/>
    </w:rPr>
  </w:style>
  <w:style w:type="character" w:customStyle="1" w:styleId="27">
    <w:name w:val="页脚 Char"/>
    <w:basedOn w:val="21"/>
    <w:link w:val="13"/>
    <w:qFormat/>
    <w:uiPriority w:val="0"/>
    <w:rPr>
      <w:kern w:val="2"/>
      <w:sz w:val="18"/>
      <w:szCs w:val="18"/>
    </w:rPr>
  </w:style>
  <w:style w:type="paragraph" w:styleId="28">
    <w:name w:val="List Paragraph"/>
    <w:basedOn w:val="1"/>
    <w:qFormat/>
    <w:uiPriority w:val="0"/>
    <w:pPr>
      <w:ind w:firstLine="420" w:firstLineChars="200"/>
    </w:pPr>
  </w:style>
  <w:style w:type="character" w:customStyle="1" w:styleId="29">
    <w:name w:val="标题 3 Char"/>
    <w:basedOn w:val="21"/>
    <w:link w:val="6"/>
    <w:qFormat/>
    <w:uiPriority w:val="0"/>
    <w:rPr>
      <w:b/>
      <w:bCs/>
      <w:kern w:val="2"/>
      <w:sz w:val="32"/>
      <w:szCs w:val="32"/>
    </w:rPr>
  </w:style>
  <w:style w:type="paragraph" w:customStyle="1" w:styleId="30">
    <w:name w:val="MsoNormal"/>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FD8714-0FA9-4C6D-A463-F07367D20AE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32</Pages>
  <Words>15469</Words>
  <Characters>16225</Characters>
  <Lines>1</Lines>
  <Paragraphs>1</Paragraphs>
  <TotalTime>8</TotalTime>
  <ScaleCrop>false</ScaleCrop>
  <LinksUpToDate>false</LinksUpToDate>
  <CharactersWithSpaces>16830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李桃</cp:lastModifiedBy>
  <cp:lastPrinted>2021-04-16T00:45:00Z</cp:lastPrinted>
  <dcterms:modified xsi:type="dcterms:W3CDTF">2026-08-19T09:03:02Z</dcterms:modified>
  <dc:title>××年度××部门/单位</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2052-11.8.2.10321</vt:lpwstr>
  </property>
  <property fmtid="{D5CDD505-2E9C-101B-9397-08002B2CF9AE}" pid="4" name="KSOTemplateDocerSaveRecord">
    <vt:lpwstr>eyJoZGlkIjoiNDdkNTNhMzBjMzAwN2EzMmNiZjAzMjYzODI4N2JjYzUiLCJ1c2VySWQiOiI1ODkyMDI0MDcifQ==</vt:lpwstr>
  </property>
</Properties>
</file>