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2F79E">
      <w:pPr>
        <w:rPr>
          <w:rFonts w:ascii="仿宋_GB2312" w:eastAsia="仿宋_GB2312"/>
          <w:sz w:val="32"/>
          <w:szCs w:val="32"/>
          <w:highlight w:val="none"/>
        </w:rPr>
      </w:pPr>
    </w:p>
    <w:p w14:paraId="30D73678">
      <w:pPr>
        <w:pStyle w:val="2"/>
        <w:rPr>
          <w:rFonts w:hint="default" w:ascii="仿宋_GB2312" w:eastAsia="仿宋_GB2312"/>
          <w:sz w:val="32"/>
          <w:szCs w:val="32"/>
          <w:highlight w:val="none"/>
        </w:rPr>
      </w:pPr>
    </w:p>
    <w:p w14:paraId="5208A5B0">
      <w:pPr>
        <w:pStyle w:val="2"/>
        <w:rPr>
          <w:rFonts w:hint="default" w:ascii="仿宋_GB2312" w:eastAsia="仿宋_GB2312"/>
          <w:sz w:val="32"/>
          <w:szCs w:val="32"/>
          <w:highlight w:val="none"/>
        </w:rPr>
      </w:pPr>
    </w:p>
    <w:p w14:paraId="29CA00E4">
      <w:pPr>
        <w:pStyle w:val="2"/>
        <w:rPr>
          <w:rFonts w:hint="default" w:ascii="仿宋_GB2312" w:eastAsia="仿宋_GB2312"/>
          <w:sz w:val="32"/>
          <w:szCs w:val="32"/>
          <w:highlight w:val="none"/>
        </w:rPr>
      </w:pPr>
    </w:p>
    <w:p w14:paraId="1BAD093A">
      <w:pPr>
        <w:pStyle w:val="2"/>
        <w:rPr>
          <w:rFonts w:hint="default" w:ascii="仿宋_GB2312" w:eastAsia="仿宋_GB2312"/>
          <w:sz w:val="32"/>
          <w:szCs w:val="32"/>
          <w:highlight w:val="none"/>
        </w:rPr>
      </w:pPr>
    </w:p>
    <w:p w14:paraId="666C7C87">
      <w:pPr>
        <w:pStyle w:val="2"/>
        <w:rPr>
          <w:rFonts w:hint="default" w:ascii="仿宋_GB2312" w:eastAsia="仿宋_GB2312"/>
          <w:sz w:val="32"/>
          <w:szCs w:val="32"/>
          <w:highlight w:val="none"/>
        </w:rPr>
      </w:pPr>
    </w:p>
    <w:p w14:paraId="0F958F87">
      <w:pPr>
        <w:keepNext/>
        <w:keepLines/>
        <w:tabs>
          <w:tab w:val="left" w:pos="6669"/>
        </w:tabs>
        <w:ind w:left="198"/>
        <w:jc w:val="center"/>
        <w:rPr>
          <w:rFonts w:hint="default" w:eastAsia="宋体"/>
          <w:b/>
          <w:bCs/>
          <w:sz w:val="52"/>
          <w:szCs w:val="52"/>
          <w:highlight w:val="none"/>
          <w:lang w:val="en-US" w:eastAsia="zh-CN"/>
        </w:rPr>
      </w:pPr>
      <w:r>
        <w:rPr>
          <w:rFonts w:ascii="宋体" w:hAnsi="宋体"/>
          <w:b/>
          <w:bCs/>
          <w:sz w:val="52"/>
          <w:szCs w:val="52"/>
        </w:rPr>
        <w:t>202</w:t>
      </w:r>
      <w:r>
        <w:rPr>
          <w:rFonts w:hint="eastAsia" w:ascii="宋体" w:hAnsi="宋体" w:eastAsia="宋体"/>
          <w:b/>
          <w:bCs/>
          <w:sz w:val="52"/>
          <w:szCs w:val="52"/>
          <w:lang w:val="en-US" w:eastAsia="zh-CN"/>
        </w:rPr>
        <w:t>5</w:t>
      </w:r>
      <w:r>
        <w:rPr>
          <w:rFonts w:hint="eastAsia" w:ascii="宋体" w:hAnsi="宋体"/>
          <w:b/>
          <w:bCs/>
          <w:sz w:val="52"/>
          <w:szCs w:val="52"/>
        </w:rPr>
        <w:t>年度内蒙古自治区巴彦淖尔市住房和城乡建设局(本级)</w:t>
      </w:r>
      <w:r>
        <w:rPr>
          <w:rFonts w:hint="eastAsia" w:ascii="宋体" w:hAnsi="宋体"/>
          <w:b/>
          <w:bCs/>
          <w:sz w:val="52"/>
          <w:szCs w:val="52"/>
          <w:lang w:val="en-US" w:eastAsia="zh-CN"/>
        </w:rPr>
        <w:t>决算公开</w:t>
      </w:r>
    </w:p>
    <w:p w14:paraId="0B35EF0F">
      <w:pPr>
        <w:rPr>
          <w:highlight w:val="none"/>
        </w:rPr>
      </w:pPr>
    </w:p>
    <w:p w14:paraId="75736E31">
      <w:pPr>
        <w:pStyle w:val="2"/>
        <w:rPr>
          <w:rFonts w:hint="default"/>
          <w:highlight w:val="none"/>
        </w:rPr>
      </w:pPr>
    </w:p>
    <w:p w14:paraId="14BC2E74">
      <w:pPr>
        <w:pStyle w:val="2"/>
        <w:rPr>
          <w:rFonts w:hint="default"/>
          <w:highlight w:val="none"/>
        </w:rPr>
      </w:pPr>
    </w:p>
    <w:p w14:paraId="7ADAB63C">
      <w:pPr>
        <w:pStyle w:val="2"/>
        <w:rPr>
          <w:rFonts w:hint="default"/>
          <w:highlight w:val="none"/>
        </w:rPr>
      </w:pPr>
    </w:p>
    <w:p w14:paraId="2F2B0187">
      <w:pPr>
        <w:pStyle w:val="2"/>
        <w:rPr>
          <w:rFonts w:hint="default"/>
          <w:highlight w:val="none"/>
        </w:rPr>
      </w:pPr>
    </w:p>
    <w:p w14:paraId="4353FFAE">
      <w:pPr>
        <w:pStyle w:val="2"/>
        <w:rPr>
          <w:rFonts w:hint="default"/>
          <w:highlight w:val="none"/>
        </w:rPr>
      </w:pPr>
    </w:p>
    <w:p w14:paraId="64D31151">
      <w:pPr>
        <w:pStyle w:val="2"/>
        <w:rPr>
          <w:rFonts w:hint="default"/>
          <w:highlight w:val="none"/>
        </w:rPr>
      </w:pPr>
    </w:p>
    <w:p w14:paraId="7FA32DF3">
      <w:pPr>
        <w:pStyle w:val="2"/>
        <w:rPr>
          <w:rFonts w:hint="default"/>
          <w:highlight w:val="none"/>
        </w:rPr>
      </w:pPr>
    </w:p>
    <w:p w14:paraId="178EA0F1">
      <w:pPr>
        <w:pStyle w:val="2"/>
        <w:rPr>
          <w:rFonts w:hint="default"/>
          <w:highlight w:val="none"/>
        </w:rPr>
      </w:pPr>
    </w:p>
    <w:p w14:paraId="47647A85">
      <w:pPr>
        <w:pStyle w:val="2"/>
        <w:spacing w:after="0" w:line="600" w:lineRule="exact"/>
        <w:ind w:left="0" w:leftChars="0" w:firstLine="0"/>
        <w:jc w:val="center"/>
        <w:rPr>
          <w:rFonts w:hint="default" w:ascii="黑体" w:hAnsi="黑体" w:eastAsia="黑体" w:cs="黑体"/>
          <w:highlight w:val="none"/>
        </w:rPr>
      </w:pPr>
      <w:r>
        <w:rPr>
          <w:rFonts w:ascii="黑体" w:hAnsi="黑体" w:eastAsia="黑体" w:cs="黑体"/>
          <w:sz w:val="32"/>
          <w:szCs w:val="32"/>
          <w:highlight w:val="none"/>
        </w:rPr>
        <w:t>批复时间：</w:t>
      </w:r>
      <w:r>
        <w:rPr>
          <w:rFonts w:ascii="黑体" w:hAnsi="黑体" w:eastAsia="黑体" w:cs="黑体"/>
          <w:sz w:val="32"/>
          <w:szCs w:val="32"/>
          <w:highlight w:val="none"/>
          <w:u w:val="single"/>
        </w:rPr>
        <w:t xml:space="preserve"> </w:t>
      </w:r>
      <w:r>
        <w:rPr>
          <w:rFonts w:hint="eastAsia" w:ascii="黑体" w:hAnsi="黑体" w:eastAsia="黑体" w:cs="黑体"/>
          <w:sz w:val="32"/>
          <w:szCs w:val="32"/>
          <w:highlight w:val="none"/>
          <w:u w:val="single"/>
          <w:lang w:val="en-US" w:eastAsia="zh-CN"/>
        </w:rPr>
        <w:t>2026</w:t>
      </w:r>
      <w:r>
        <w:rPr>
          <w:rFonts w:ascii="黑体" w:hAnsi="黑体" w:eastAsia="黑体" w:cs="黑体"/>
          <w:sz w:val="32"/>
          <w:szCs w:val="32"/>
          <w:highlight w:val="none"/>
          <w:u w:val="single"/>
        </w:rPr>
        <w:t xml:space="preserve"> 年 </w:t>
      </w:r>
      <w:r>
        <w:rPr>
          <w:rFonts w:hint="eastAsia" w:ascii="黑体" w:hAnsi="黑体" w:eastAsia="黑体" w:cs="黑体"/>
          <w:sz w:val="32"/>
          <w:szCs w:val="32"/>
          <w:highlight w:val="none"/>
          <w:u w:val="single"/>
          <w:lang w:val="en-US" w:eastAsia="zh-CN"/>
        </w:rPr>
        <w:t>9</w:t>
      </w:r>
      <w:r>
        <w:rPr>
          <w:rFonts w:ascii="黑体" w:hAnsi="黑体" w:eastAsia="黑体" w:cs="黑体"/>
          <w:sz w:val="32"/>
          <w:szCs w:val="32"/>
          <w:highlight w:val="none"/>
          <w:u w:val="single"/>
        </w:rPr>
        <w:t xml:space="preserve">月 </w:t>
      </w:r>
      <w:r>
        <w:rPr>
          <w:rFonts w:hint="eastAsia" w:ascii="黑体" w:hAnsi="黑体" w:eastAsia="黑体" w:cs="黑体"/>
          <w:sz w:val="32"/>
          <w:szCs w:val="32"/>
          <w:highlight w:val="none"/>
          <w:u w:val="single"/>
          <w:lang w:val="en-US" w:eastAsia="zh-CN"/>
        </w:rPr>
        <w:t>7</w:t>
      </w:r>
      <w:r>
        <w:rPr>
          <w:rFonts w:ascii="黑体" w:hAnsi="黑体" w:eastAsia="黑体" w:cs="黑体"/>
          <w:sz w:val="32"/>
          <w:szCs w:val="32"/>
          <w:highlight w:val="none"/>
          <w:u w:val="single"/>
        </w:rPr>
        <w:t xml:space="preserve"> 日</w:t>
      </w:r>
    </w:p>
    <w:p w14:paraId="711B6BA1">
      <w:pPr>
        <w:pStyle w:val="2"/>
        <w:spacing w:after="0" w:line="600" w:lineRule="exact"/>
        <w:ind w:left="0" w:leftChars="0" w:firstLine="0"/>
        <w:jc w:val="center"/>
        <w:rPr>
          <w:rFonts w:hint="default" w:ascii="黑体" w:hAnsi="黑体" w:eastAsia="黑体" w:cs="黑体"/>
          <w:highlight w:val="none"/>
        </w:rPr>
      </w:pPr>
      <w:r>
        <w:rPr>
          <w:rFonts w:ascii="黑体" w:hAnsi="黑体" w:eastAsia="黑体" w:cs="黑体"/>
          <w:sz w:val="32"/>
          <w:szCs w:val="32"/>
          <w:highlight w:val="none"/>
        </w:rPr>
        <w:t>公开时间：</w:t>
      </w:r>
      <w:r>
        <w:rPr>
          <w:rFonts w:ascii="黑体" w:hAnsi="黑体" w:eastAsia="黑体" w:cs="黑体"/>
          <w:sz w:val="32"/>
          <w:szCs w:val="32"/>
          <w:highlight w:val="none"/>
          <w:u w:val="single"/>
        </w:rPr>
        <w:t xml:space="preserve"> </w:t>
      </w:r>
      <w:r>
        <w:rPr>
          <w:rFonts w:hint="eastAsia" w:ascii="黑体" w:hAnsi="黑体" w:eastAsia="黑体" w:cs="黑体"/>
          <w:sz w:val="32"/>
          <w:szCs w:val="32"/>
          <w:highlight w:val="none"/>
          <w:u w:val="single"/>
          <w:lang w:val="en-US" w:eastAsia="zh-CN"/>
        </w:rPr>
        <w:t>2026</w:t>
      </w:r>
      <w:r>
        <w:rPr>
          <w:rFonts w:ascii="黑体" w:hAnsi="黑体" w:eastAsia="黑体" w:cs="黑体"/>
          <w:sz w:val="32"/>
          <w:szCs w:val="32"/>
          <w:highlight w:val="none"/>
          <w:u w:val="single"/>
        </w:rPr>
        <w:t xml:space="preserve"> 年</w:t>
      </w:r>
      <w:r>
        <w:rPr>
          <w:rFonts w:hint="eastAsia" w:ascii="黑体" w:hAnsi="黑体" w:eastAsia="黑体" w:cs="黑体"/>
          <w:sz w:val="32"/>
          <w:szCs w:val="32"/>
          <w:highlight w:val="none"/>
          <w:u w:val="single"/>
          <w:lang w:val="en-US" w:eastAsia="zh-CN"/>
        </w:rPr>
        <w:t xml:space="preserve"> 9</w:t>
      </w:r>
      <w:r>
        <w:rPr>
          <w:rFonts w:ascii="黑体" w:hAnsi="黑体" w:eastAsia="黑体" w:cs="黑体"/>
          <w:sz w:val="32"/>
          <w:szCs w:val="32"/>
          <w:highlight w:val="none"/>
          <w:u w:val="single"/>
        </w:rPr>
        <w:t xml:space="preserve"> 月 </w:t>
      </w:r>
      <w:r>
        <w:rPr>
          <w:rFonts w:hint="eastAsia" w:ascii="黑体" w:hAnsi="黑体" w:eastAsia="黑体" w:cs="黑体"/>
          <w:sz w:val="32"/>
          <w:szCs w:val="32"/>
          <w:highlight w:val="none"/>
          <w:u w:val="single"/>
          <w:lang w:val="en-US" w:eastAsia="zh-CN"/>
        </w:rPr>
        <w:t>15</w:t>
      </w:r>
      <w:r>
        <w:rPr>
          <w:rFonts w:ascii="黑体" w:hAnsi="黑体" w:eastAsia="黑体" w:cs="黑体"/>
          <w:sz w:val="32"/>
          <w:szCs w:val="32"/>
          <w:highlight w:val="none"/>
          <w:u w:val="single"/>
        </w:rPr>
        <w:t>日</w:t>
      </w:r>
    </w:p>
    <w:p w14:paraId="7904DB06">
      <w:pPr>
        <w:pStyle w:val="6"/>
        <w:spacing w:before="3"/>
        <w:ind w:firstLine="200"/>
        <w:rPr>
          <w:sz w:val="10"/>
          <w:highlight w:val="none"/>
        </w:rPr>
      </w:pPr>
    </w:p>
    <w:p w14:paraId="6A15CADA">
      <w:pPr>
        <w:pStyle w:val="6"/>
        <w:spacing w:before="3"/>
        <w:ind w:firstLine="200"/>
        <w:rPr>
          <w:sz w:val="10"/>
          <w:highlight w:val="none"/>
        </w:rPr>
      </w:pPr>
    </w:p>
    <w:p w14:paraId="191FA89A">
      <w:pPr>
        <w:pStyle w:val="6"/>
        <w:spacing w:before="3"/>
        <w:ind w:firstLine="200"/>
        <w:rPr>
          <w:sz w:val="10"/>
          <w:highlight w:val="none"/>
        </w:rPr>
      </w:pPr>
    </w:p>
    <w:p w14:paraId="410BD82E">
      <w:pPr>
        <w:pStyle w:val="6"/>
        <w:spacing w:before="3"/>
        <w:ind w:firstLine="200"/>
        <w:rPr>
          <w:sz w:val="10"/>
          <w:highlight w:val="none"/>
        </w:rPr>
      </w:pPr>
    </w:p>
    <w:p w14:paraId="50FADAE0">
      <w:pPr>
        <w:pStyle w:val="6"/>
        <w:spacing w:before="3"/>
        <w:ind w:firstLine="200"/>
        <w:rPr>
          <w:sz w:val="10"/>
          <w:highlight w:val="none"/>
        </w:rPr>
      </w:pPr>
    </w:p>
    <w:p w14:paraId="0A23E3E2">
      <w:pPr>
        <w:pStyle w:val="6"/>
        <w:spacing w:before="3"/>
        <w:ind w:firstLine="200"/>
        <w:rPr>
          <w:sz w:val="10"/>
          <w:highlight w:val="none"/>
        </w:rPr>
      </w:pPr>
    </w:p>
    <w:p w14:paraId="10A9B4BE">
      <w:pPr>
        <w:pStyle w:val="6"/>
        <w:spacing w:before="3"/>
        <w:ind w:firstLine="200"/>
        <w:rPr>
          <w:sz w:val="10"/>
          <w:highlight w:val="none"/>
        </w:rPr>
      </w:pPr>
    </w:p>
    <w:p w14:paraId="2DF1BF78">
      <w:pPr>
        <w:widowControl/>
        <w:spacing w:after="240"/>
        <w:jc w:val="center"/>
        <w:rPr>
          <w:rFonts w:ascii="Times New Roman" w:hAnsi="Times New Roman" w:eastAsia="Times New Roman" w:cs="Times New Roman"/>
          <w:kern w:val="0"/>
          <w:sz w:val="24"/>
        </w:rPr>
      </w:pPr>
      <w:r>
        <w:rPr>
          <w:rFonts w:ascii="仿宋_GB2312" w:hAnsi="仿宋_GB2312" w:eastAsia="仿宋_GB2312" w:cs="仿宋_GB2312"/>
          <w:b/>
          <w:bCs/>
          <w:kern w:val="0"/>
          <w:sz w:val="54"/>
          <w:szCs w:val="54"/>
        </w:rPr>
        <w:t>目 录</w:t>
      </w:r>
    </w:p>
    <w:p w14:paraId="6C65BAB9">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435E0410">
      <w:pPr>
        <w:widowControl/>
        <w:spacing w:before="240" w:after="240"/>
        <w:jc w:val="left"/>
        <w:rPr>
          <w:rFonts w:ascii="Times New Roman" w:hAnsi="Times New Roman" w:eastAsia="Times New Roman" w:cs="Times New Roman"/>
          <w:kern w:val="0"/>
          <w:sz w:val="36"/>
          <w:szCs w:val="36"/>
        </w:rPr>
      </w:pPr>
      <w:r>
        <w:rPr>
          <w:rFonts w:ascii="黑体" w:hAnsi="黑体" w:eastAsia="黑体" w:cs="黑体"/>
          <w:kern w:val="0"/>
          <w:sz w:val="36"/>
          <w:szCs w:val="36"/>
        </w:rPr>
        <w:t>第一部分 部门（单位）概况</w:t>
      </w:r>
    </w:p>
    <w:p w14:paraId="0241C9D3">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一、主要职能、职责</w:t>
      </w:r>
    </w:p>
    <w:p w14:paraId="1D5E78A9">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二、部门（单位）机构设置及决算单位构成情况</w:t>
      </w:r>
    </w:p>
    <w:p w14:paraId="6BBFCCE7">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三、</w:t>
      </w:r>
      <w:r>
        <w:rPr>
          <w:rFonts w:hint="eastAsia" w:ascii="仿宋" w:hAnsi="仿宋" w:eastAsia="仿宋" w:cs="仿宋"/>
          <w:b w:val="0"/>
          <w:bCs w:val="0"/>
          <w:kern w:val="0"/>
          <w:sz w:val="32"/>
          <w:szCs w:val="32"/>
        </w:rPr>
        <w:t>2024</w:t>
      </w:r>
      <w:r>
        <w:rPr>
          <w:rFonts w:hint="eastAsia" w:ascii="仿宋" w:hAnsi="仿宋" w:eastAsia="仿宋" w:cs="仿宋"/>
          <w:kern w:val="0"/>
          <w:sz w:val="32"/>
          <w:szCs w:val="32"/>
        </w:rPr>
        <w:t>年度部门（单位）主要工作完成情况</w:t>
      </w:r>
    </w:p>
    <w:p w14:paraId="742061CB">
      <w:pPr>
        <w:widowControl/>
        <w:spacing w:before="240" w:after="240"/>
        <w:jc w:val="left"/>
        <w:rPr>
          <w:rFonts w:ascii="Times New Roman" w:hAnsi="Times New Roman" w:eastAsia="Times New Roman" w:cs="Times New Roman"/>
          <w:kern w:val="0"/>
          <w:sz w:val="36"/>
          <w:szCs w:val="36"/>
        </w:rPr>
      </w:pPr>
      <w:r>
        <w:rPr>
          <w:rFonts w:ascii="黑体" w:hAnsi="黑体" w:eastAsia="黑体" w:cs="黑体"/>
          <w:kern w:val="0"/>
          <w:sz w:val="36"/>
          <w:szCs w:val="36"/>
        </w:rPr>
        <w:t>第二部分 部门（单位）决算情况说明</w:t>
      </w:r>
    </w:p>
    <w:p w14:paraId="077B9546">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一、收入支出决算总体情况说明</w:t>
      </w:r>
    </w:p>
    <w:p w14:paraId="74704C41">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二、收入决算情况说明</w:t>
      </w:r>
    </w:p>
    <w:p w14:paraId="44E736DB">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三、支出决算情况说明</w:t>
      </w:r>
    </w:p>
    <w:p w14:paraId="6AE8F87D">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四、财政拨款收入支出决算总体情况说明</w:t>
      </w:r>
    </w:p>
    <w:p w14:paraId="162DA7E9">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五、一般公共预算财政拨款支出决算情况说明</w:t>
      </w:r>
    </w:p>
    <w:p w14:paraId="23CD2F00">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六、一般公共预算财政拨款基本支出决算情况说明</w:t>
      </w:r>
    </w:p>
    <w:p w14:paraId="2546F7A5">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七、一般公共预算财政拨款项目支出决算情况说明</w:t>
      </w:r>
    </w:p>
    <w:p w14:paraId="6901F6B6">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八、财政拨款“三公”经费支出决算情况说明</w:t>
      </w:r>
    </w:p>
    <w:p w14:paraId="25654FF0">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九、政府性基金预算财政拨款支出决算情况说明</w:t>
      </w:r>
    </w:p>
    <w:p w14:paraId="2AFC0CA2">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十、国有资本经营预算财政拨款支出决算情况说明</w:t>
      </w:r>
    </w:p>
    <w:p w14:paraId="576226E7">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十一、机关运行经费（公用经费）支出决算情况说明</w:t>
      </w:r>
    </w:p>
    <w:p w14:paraId="5D769F1F">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十二、政府采购支出决算情况说明</w:t>
      </w:r>
    </w:p>
    <w:p w14:paraId="6A74C04D">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十三、国有资产占用情况说明</w:t>
      </w:r>
    </w:p>
    <w:p w14:paraId="347CE8F9">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十四、预算绩效情况说明</w:t>
      </w:r>
    </w:p>
    <w:p w14:paraId="56A10AB7">
      <w:pPr>
        <w:widowControl/>
        <w:spacing w:before="240" w:after="240"/>
        <w:jc w:val="left"/>
        <w:rPr>
          <w:rFonts w:ascii="Times New Roman" w:hAnsi="Times New Roman" w:eastAsia="Times New Roman" w:cs="Times New Roman"/>
          <w:kern w:val="0"/>
          <w:sz w:val="36"/>
          <w:szCs w:val="36"/>
        </w:rPr>
      </w:pPr>
      <w:r>
        <w:rPr>
          <w:rFonts w:ascii="黑体" w:hAnsi="黑体" w:eastAsia="黑体" w:cs="黑体"/>
          <w:kern w:val="0"/>
          <w:sz w:val="36"/>
          <w:szCs w:val="36"/>
        </w:rPr>
        <w:t>第三部分 名词解释</w:t>
      </w:r>
    </w:p>
    <w:p w14:paraId="63236F4F">
      <w:pPr>
        <w:widowControl/>
        <w:spacing w:before="240" w:after="240"/>
        <w:jc w:val="left"/>
        <w:rPr>
          <w:rFonts w:ascii="Times New Roman" w:hAnsi="Times New Roman" w:eastAsia="Times New Roman" w:cs="Times New Roman"/>
          <w:kern w:val="0"/>
          <w:sz w:val="36"/>
          <w:szCs w:val="36"/>
        </w:rPr>
      </w:pPr>
      <w:r>
        <w:rPr>
          <w:rFonts w:ascii="黑体" w:hAnsi="黑体" w:eastAsia="黑体" w:cs="黑体"/>
          <w:kern w:val="0"/>
          <w:sz w:val="36"/>
          <w:szCs w:val="36"/>
        </w:rPr>
        <w:t>第四部分 决算公开联系方式及信息反馈渠道</w:t>
      </w:r>
    </w:p>
    <w:p w14:paraId="0E7FFCD1">
      <w:pPr>
        <w:widowControl/>
        <w:spacing w:before="240" w:after="240"/>
        <w:jc w:val="left"/>
        <w:rPr>
          <w:rFonts w:ascii="Times New Roman" w:hAnsi="Times New Roman" w:eastAsia="Times New Roman" w:cs="Times New Roman"/>
          <w:kern w:val="0"/>
          <w:sz w:val="36"/>
          <w:szCs w:val="36"/>
        </w:rPr>
      </w:pPr>
      <w:r>
        <w:rPr>
          <w:rFonts w:ascii="黑体" w:hAnsi="黑体" w:eastAsia="黑体" w:cs="黑体"/>
          <w:kern w:val="0"/>
          <w:sz w:val="36"/>
          <w:szCs w:val="36"/>
        </w:rPr>
        <w:t>第五部分 部门（单位）决算表</w:t>
      </w:r>
    </w:p>
    <w:p w14:paraId="64356CA2">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一、收入支出决算总表</w:t>
      </w:r>
    </w:p>
    <w:p w14:paraId="7CCEEB81">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二、收入决算表</w:t>
      </w:r>
    </w:p>
    <w:p w14:paraId="104A36E4">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三、支出决算表</w:t>
      </w:r>
    </w:p>
    <w:p w14:paraId="62A12723">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四、财政拨款收入支出决算总表</w:t>
      </w:r>
    </w:p>
    <w:p w14:paraId="2FF43E55">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五、一般公共预算财政拨款支出决算表</w:t>
      </w:r>
    </w:p>
    <w:p w14:paraId="015CF79C">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六、一般公共预算财政拨款基本支出决算明细表</w:t>
      </w:r>
    </w:p>
    <w:p w14:paraId="2D95190D">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七、一般公共预算财政拨款项目支出决算明细表</w:t>
      </w:r>
    </w:p>
    <w:p w14:paraId="51B34B9E">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八、政府性基金预算财政拨款收入支出决算表</w:t>
      </w:r>
    </w:p>
    <w:p w14:paraId="2A7BE075">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九、国有资本经营预算财政拨款收入支出决算表</w:t>
      </w:r>
    </w:p>
    <w:p w14:paraId="73A9EFE5">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十、财政拨款“三公”经费支出决算表</w:t>
      </w:r>
    </w:p>
    <w:p w14:paraId="45991777">
      <w:pPr>
        <w:widowControl/>
        <w:spacing w:before="240" w:after="240"/>
        <w:jc w:val="left"/>
        <w:rPr>
          <w:rFonts w:hint="eastAsia" w:ascii="仿宋" w:hAnsi="仿宋" w:eastAsia="仿宋" w:cs="仿宋"/>
          <w:kern w:val="0"/>
          <w:sz w:val="32"/>
          <w:szCs w:val="32"/>
        </w:rPr>
      </w:pPr>
      <w:r>
        <w:rPr>
          <w:rFonts w:hint="eastAsia" w:ascii="仿宋" w:hAnsi="仿宋" w:eastAsia="仿宋" w:cs="仿宋"/>
          <w:kern w:val="0"/>
          <w:sz w:val="32"/>
          <w:szCs w:val="32"/>
        </w:rPr>
        <w:t>十一、机关运行经费支出、国有资产占用情况及政府采购支出信息表</w:t>
      </w:r>
    </w:p>
    <w:p w14:paraId="58EA7E63">
      <w:pPr>
        <w:spacing w:line="600" w:lineRule="exact"/>
        <w:rPr>
          <w:rFonts w:hint="eastAsia" w:ascii="仿宋" w:hAnsi="仿宋" w:eastAsia="仿宋" w:cs="仿宋"/>
          <w:sz w:val="32"/>
          <w:szCs w:val="32"/>
          <w:highlight w:val="none"/>
        </w:rPr>
      </w:pPr>
    </w:p>
    <w:p w14:paraId="6E66E3AB">
      <w:pPr>
        <w:pStyle w:val="2"/>
        <w:rPr>
          <w:highlight w:val="none"/>
        </w:rPr>
      </w:pPr>
    </w:p>
    <w:p w14:paraId="7415C845">
      <w:pPr>
        <w:pStyle w:val="2"/>
        <w:rPr>
          <w:highlight w:val="none"/>
        </w:rPr>
      </w:pPr>
    </w:p>
    <w:p w14:paraId="30A176C5">
      <w:pPr>
        <w:pStyle w:val="2"/>
        <w:rPr>
          <w:highlight w:val="none"/>
        </w:rPr>
      </w:pPr>
    </w:p>
    <w:p w14:paraId="4626EC55">
      <w:pPr>
        <w:pStyle w:val="2"/>
        <w:rPr>
          <w:highlight w:val="none"/>
        </w:rPr>
      </w:pPr>
    </w:p>
    <w:p w14:paraId="1308A6E1">
      <w:pPr>
        <w:pStyle w:val="2"/>
        <w:rPr>
          <w:highlight w:val="none"/>
        </w:rPr>
      </w:pPr>
    </w:p>
    <w:p w14:paraId="1B55D438">
      <w:pPr>
        <w:pStyle w:val="2"/>
        <w:rPr>
          <w:highlight w:val="none"/>
        </w:rPr>
      </w:pPr>
    </w:p>
    <w:p w14:paraId="153F4258">
      <w:pPr>
        <w:pStyle w:val="2"/>
        <w:rPr>
          <w:highlight w:val="none"/>
        </w:rPr>
      </w:pPr>
    </w:p>
    <w:p w14:paraId="5E7D6F82">
      <w:pPr>
        <w:pStyle w:val="2"/>
        <w:rPr>
          <w:highlight w:val="none"/>
        </w:rPr>
      </w:pPr>
    </w:p>
    <w:p w14:paraId="75233D59">
      <w:pPr>
        <w:pStyle w:val="2"/>
        <w:rPr>
          <w:highlight w:val="none"/>
        </w:rPr>
      </w:pPr>
    </w:p>
    <w:p w14:paraId="142BF035">
      <w:pPr>
        <w:pStyle w:val="2"/>
        <w:rPr>
          <w:highlight w:val="none"/>
        </w:rPr>
      </w:pPr>
    </w:p>
    <w:p w14:paraId="43956251">
      <w:pPr>
        <w:pStyle w:val="2"/>
        <w:rPr>
          <w:highlight w:val="none"/>
        </w:rPr>
      </w:pPr>
    </w:p>
    <w:p w14:paraId="4EDD08CF">
      <w:pPr>
        <w:pStyle w:val="2"/>
        <w:rPr>
          <w:highlight w:val="none"/>
        </w:rPr>
      </w:pPr>
    </w:p>
    <w:p w14:paraId="543AEA8D">
      <w:pPr>
        <w:pStyle w:val="2"/>
        <w:rPr>
          <w:highlight w:val="none"/>
        </w:rPr>
      </w:pPr>
    </w:p>
    <w:p w14:paraId="43A61F77">
      <w:pPr>
        <w:pStyle w:val="2"/>
        <w:rPr>
          <w:highlight w:val="none"/>
        </w:rPr>
      </w:pPr>
    </w:p>
    <w:p w14:paraId="6C451663">
      <w:pPr>
        <w:pStyle w:val="2"/>
        <w:rPr>
          <w:highlight w:val="none"/>
        </w:rPr>
      </w:pPr>
    </w:p>
    <w:p w14:paraId="01B5C659">
      <w:pPr>
        <w:pStyle w:val="2"/>
        <w:rPr>
          <w:highlight w:val="none"/>
        </w:rPr>
      </w:pPr>
    </w:p>
    <w:p w14:paraId="7686BDD9">
      <w:pPr>
        <w:pStyle w:val="2"/>
        <w:rPr>
          <w:highlight w:val="none"/>
        </w:rPr>
      </w:pPr>
    </w:p>
    <w:p w14:paraId="48AA4A2F">
      <w:pPr>
        <w:pStyle w:val="2"/>
        <w:rPr>
          <w:highlight w:val="none"/>
        </w:rPr>
      </w:pPr>
    </w:p>
    <w:p w14:paraId="5A073D6F">
      <w:pPr>
        <w:pStyle w:val="2"/>
        <w:rPr>
          <w:highlight w:val="none"/>
        </w:rPr>
      </w:pPr>
    </w:p>
    <w:p w14:paraId="58CB0910">
      <w:pPr>
        <w:pStyle w:val="6"/>
        <w:spacing w:after="0" w:line="360" w:lineRule="auto"/>
        <w:rPr>
          <w:rFonts w:ascii="Times New Roman" w:hAnsi="Times New Roman" w:eastAsia="仿宋_GB2312" w:cs="仿宋"/>
          <w:w w:val="95"/>
          <w:sz w:val="32"/>
          <w:szCs w:val="32"/>
          <w:highlight w:val="none"/>
        </w:rPr>
      </w:pPr>
    </w:p>
    <w:p w14:paraId="2A2CBC2C">
      <w:pPr>
        <w:pStyle w:val="6"/>
        <w:spacing w:after="0" w:line="360" w:lineRule="auto"/>
        <w:rPr>
          <w:rFonts w:ascii="Times New Roman" w:hAnsi="Times New Roman" w:eastAsia="仿宋_GB2312" w:cs="仿宋"/>
          <w:w w:val="95"/>
          <w:sz w:val="32"/>
          <w:szCs w:val="32"/>
          <w:highlight w:val="none"/>
        </w:rPr>
      </w:pPr>
    </w:p>
    <w:p w14:paraId="562EEDBF">
      <w:pPr>
        <w:pStyle w:val="5"/>
        <w:keepNext w:val="0"/>
        <w:keepLines w:val="0"/>
        <w:widowControl/>
        <w:spacing w:before="299" w:after="299" w:line="240" w:lineRule="auto"/>
        <w:jc w:val="center"/>
        <w:rPr>
          <w:rFonts w:hint="eastAsia" w:ascii="黑体" w:hAnsi="黑体" w:eastAsia="黑体" w:cs="黑体"/>
          <w:b/>
          <w:bCs/>
          <w:kern w:val="0"/>
          <w:sz w:val="36"/>
          <w:szCs w:val="36"/>
        </w:rPr>
      </w:pPr>
      <w:r>
        <w:rPr>
          <w:rFonts w:hint="eastAsia" w:ascii="黑体" w:hAnsi="黑体" w:eastAsia="黑体" w:cs="黑体"/>
          <w:kern w:val="0"/>
          <w:sz w:val="36"/>
          <w:szCs w:val="36"/>
        </w:rPr>
        <w:t>第一部分 部门（单位）概况</w:t>
      </w:r>
    </w:p>
    <w:p w14:paraId="3FE217AD">
      <w:pPr>
        <w:widowControl/>
        <w:spacing w:before="240" w:after="240"/>
        <w:jc w:val="left"/>
        <w:rPr>
          <w:rFonts w:ascii="仿宋_GB2312" w:hAnsi="仿宋_GB2312" w:eastAsia="仿宋_GB2312" w:cs="仿宋_GB2312"/>
          <w:color w:val="0E00FE"/>
          <w:kern w:val="0"/>
          <w:sz w:val="32"/>
          <w:szCs w:val="32"/>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32"/>
          <w:szCs w:val="32"/>
        </w:rPr>
        <w:t> </w:t>
      </w:r>
      <w:r>
        <w:rPr>
          <w:rFonts w:ascii="黑体" w:hAnsi="黑体" w:eastAsia="黑体" w:cs="黑体"/>
          <w:b/>
          <w:bCs/>
          <w:kern w:val="0"/>
          <w:sz w:val="32"/>
          <w:szCs w:val="32"/>
        </w:rPr>
        <w:t xml:space="preserve"> 一、主要职能、职责</w:t>
      </w:r>
    </w:p>
    <w:p w14:paraId="04DBDDE5">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（一）贯彻落实住房和城乡建设的地方性法规、规章。提出住房和城乡建设重大问题的政策建议，拟订并组织实施住房和城乡建设事业发展战略、中长期规划。</w:t>
      </w:r>
    </w:p>
    <w:p w14:paraId="6FC7EE33">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（二）推进住房制度改革，建立多主体供给、多渠道保障、租购并举的住房制度。指导城镇住房保障工作，拟订保障性住房政策并监督实施；拟订保障性住房、保障性安居工程发展规划和年度计划并监督实施。</w:t>
      </w:r>
    </w:p>
    <w:p w14:paraId="67753523">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三）承担房地产市场监管和房地产业发展工作。会同有关部门拟订房地产市场监管和调控政策、规章制度并监督执行。参与拟订房地产业发展规划和产业政策。拟订房地产开发、房屋权属管理、房屋租赁、房屋面积管理、房地产估价与经纪管理、物业管理、房屋征收的规章制度并监督执行。指导监督房屋产权管理工作，协同指导房屋登记工作。</w:t>
      </w:r>
    </w:p>
    <w:p w14:paraId="5EB09EDE">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四）监督实施国家工程建设标准和有关行业标准。负责监督工程建设地方标准和工程建设定额的实施。承担建设工程造价管理工作。监督建设项目可行性研究评价方法、经济参数、建设标准和工程造价的管理制度的实施，监督公共服务设施（不含通信设施）建设标准的实施。指导监督各类工程建设标准定额的实施和工程造价计价，组织发布工程建设定额和工程造价信息。</w:t>
      </w:r>
    </w:p>
    <w:p w14:paraId="11055395">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五）监督管理建筑市场，规范市场主体行为。拟订规范建筑市场、行业监管和建设活动的规章制度并监督执行。拟订建筑业、勘察设计业、工程监理咨询业的行业发展政策、中长期规划并指导实施，负责相关企业、单位的监督管理。管理和指导室内装饰业。引导建筑企业参与对外承包、建筑劳务合作。</w:t>
      </w:r>
    </w:p>
    <w:p w14:paraId="3940FF70">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六）承担建筑工程质量安全监管责任。拟订建筑工程质量、建筑安全生产、防雷装置设计审核和工程竣工验收备案的政策、规章制度并监督执行。拟定相关技术政策并指导实施。参与工程重大质量、安全事的调查处理。指导监督建设工程消防设计审查验收。</w:t>
      </w:r>
    </w:p>
    <w:p w14:paraId="7364C19D">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（七）指导城市勘察、市政工程测量、城市地下空间开发利用和城市雕塑工作。参与拟订城市修补和生态修复的政策和制度并监督执行。会同文物主管部门负责历史文化名城（镇、村）的保护和监督管理工作。</w:t>
      </w:r>
    </w:p>
    <w:p w14:paraId="320D99B4">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八）指导城市建设和管理工作。参与拟订城市建设、管理的政策和制度并指导实施。组织编制城市建设和市政公用事业的中长期发展规划并指导实施。指导城市市政公用设施建设和运行安全管理工作。负责城市建设档案管理工作。</w:t>
      </w:r>
    </w:p>
    <w:p w14:paraId="0B373DE0">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九）指导城市管理执法工作。参与拟订城市管理执法监督的政策和制度并监督执行。指导监督集中行使住房和城乡建设领域以及与城市管理相关的跨部门、跨领域的相关行政执法和行政处罚工作。组织查处住房和城乡建设领域重大案件。</w:t>
      </w:r>
    </w:p>
    <w:p w14:paraId="348D4A1D">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（十）指导村镇建设工作。参与拟订小城镇和村庄建设的政策、发展规划并指导实施。指导农村牧区住房建设和危房改造工作。指导重点镇建设和传统村落、传统建筑的保护发展工作。</w:t>
      </w:r>
    </w:p>
    <w:p w14:paraId="292F0816">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十一）指导建筑节能和城镇减排工作。会同有关部门拟订建筑节能、城镇减排和科技相关政策、发展规划并监督实施。拟订绿色建筑、装配式建筑发展规划并指导实施。指导新型墙体材料发展工作。指导和组织实施重大建筑节能项目、重大科技项目攻关和科技成果转化推广。</w:t>
      </w:r>
    </w:p>
    <w:p w14:paraId="0BFEFEFB">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十二）指导住房公积金管理工作。会同有关部门拟订住房公积金政策、发展规划并组织实施。拟订住房公积金缴存、使用、管理和监督制度。监督住房公积金和其他住房资金的管理、使用和安全。管理住房公积金信息系统。</w:t>
      </w:r>
    </w:p>
    <w:p w14:paraId="23FBA0AB">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（十三）指导住房和城乡建设领域人才队伍建设，开展对外交流与合作。</w:t>
      </w:r>
    </w:p>
    <w:p w14:paraId="1E68798B">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（十四）完成市委、市政府交办的其他任务。　</w:t>
      </w:r>
    </w:p>
    <w:p w14:paraId="19F50D99">
      <w:pPr>
        <w:keepNext w:val="0"/>
        <w:keepLines w:val="0"/>
        <w:pageBreakBefore w:val="0"/>
        <w:widowControl/>
        <w:kinsoku/>
        <w:wordWrap/>
        <w:overflowPunct/>
        <w:topLinePunct w:val="0"/>
        <w:autoSpaceDE/>
        <w:autoSpaceDN/>
        <w:bidi w:val="0"/>
        <w:adjustRightInd/>
        <w:snapToGrid/>
        <w:jc w:val="left"/>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巴彦淖尔市住房和城乡建设局所属事业单位的设置、职责和编制事项另行规定。</w:t>
      </w:r>
    </w:p>
    <w:p w14:paraId="7C4EF3A1">
      <w:pPr>
        <w:keepNext w:val="0"/>
        <w:keepLines w:val="0"/>
        <w:pageBreakBefore w:val="0"/>
        <w:widowControl/>
        <w:kinsoku/>
        <w:wordWrap/>
        <w:overflowPunct/>
        <w:topLinePunct w:val="0"/>
        <w:autoSpaceDE/>
        <w:autoSpaceDN/>
        <w:bidi w:val="0"/>
        <w:adjustRightInd/>
        <w:snapToGrid/>
        <w:jc w:val="left"/>
        <w:textAlignment w:val="auto"/>
        <w:rPr>
          <w:rFonts w:ascii="Times New Roman" w:hAnsi="Times New Roman" w:eastAsia="Times New Roman" w:cs="Times New Roman"/>
          <w:kern w:val="0"/>
          <w:sz w:val="32"/>
          <w:szCs w:val="32"/>
        </w:rPr>
      </w:pPr>
      <w:r>
        <w:rPr>
          <w:rFonts w:hint="eastAsia" w:ascii="仿宋_GB2312" w:hAnsi="仿宋_GB2312" w:eastAsia="仿宋_GB2312" w:cs="仿宋_GB2312"/>
          <w:kern w:val="0"/>
          <w:sz w:val="32"/>
          <w:szCs w:val="32"/>
          <w:lang w:val="en-US" w:eastAsia="zh-CN"/>
        </w:rPr>
        <w:t>　　本规定由中共巴彦淖尔市委员会机构编制委员会办公室负责解释，其调整由中共巴彦淖尔市委员会机构编制委员会办公室按规定程序办理。</w:t>
      </w:r>
    </w:p>
    <w:p w14:paraId="39E47035">
      <w:pPr>
        <w:widowControl/>
        <w:spacing w:before="240" w:after="240"/>
        <w:jc w:val="left"/>
        <w:rPr>
          <w:rFonts w:ascii="Times New Roman" w:hAnsi="Times New Roman" w:eastAsia="Times New Roman" w:cs="Times New Roman"/>
          <w:kern w:val="0"/>
          <w:sz w:val="32"/>
          <w:szCs w:val="32"/>
        </w:rPr>
      </w:pPr>
      <w:r>
        <w:rPr>
          <w:rFonts w:ascii="Calibri" w:hAnsi="Calibri" w:eastAsia="Calibri" w:cs="Calibri"/>
          <w:b/>
          <w:bCs/>
          <w:kern w:val="0"/>
          <w:sz w:val="27"/>
          <w:szCs w:val="27"/>
        </w:rPr>
        <w:t> </w:t>
      </w:r>
      <w:r>
        <w:rPr>
          <w:rFonts w:ascii="黑体" w:hAnsi="黑体" w:eastAsia="黑体" w:cs="黑体"/>
          <w:b/>
          <w:bCs/>
          <w:kern w:val="0"/>
          <w:sz w:val="27"/>
          <w:szCs w:val="27"/>
        </w:rPr>
        <w:t xml:space="preserve"> </w:t>
      </w:r>
      <w:r>
        <w:rPr>
          <w:rFonts w:ascii="Calibri" w:hAnsi="Calibri" w:eastAsia="Calibri" w:cs="Calibri"/>
          <w:b/>
          <w:bCs/>
          <w:kern w:val="0"/>
          <w:sz w:val="27"/>
          <w:szCs w:val="27"/>
        </w:rPr>
        <w:t> </w:t>
      </w:r>
      <w:r>
        <w:rPr>
          <w:rFonts w:ascii="黑体" w:hAnsi="黑体" w:eastAsia="黑体" w:cs="黑体"/>
          <w:b/>
          <w:bCs/>
          <w:kern w:val="0"/>
          <w:sz w:val="32"/>
          <w:szCs w:val="32"/>
        </w:rPr>
        <w:t xml:space="preserve"> 二、单位机构设置及决算单位构成情况</w:t>
      </w:r>
    </w:p>
    <w:p w14:paraId="6049A0C7">
      <w:pPr>
        <w:keepNext w:val="0"/>
        <w:keepLines w:val="0"/>
        <w:pageBreakBefore w:val="0"/>
        <w:widowControl/>
        <w:kinsoku/>
        <w:wordWrap/>
        <w:overflowPunct/>
        <w:topLinePunct w:val="0"/>
        <w:autoSpaceDE/>
        <w:autoSpaceDN/>
        <w:bidi w:val="0"/>
        <w:adjustRightInd/>
        <w:snapToGrid/>
        <w:ind w:firstLine="482"/>
        <w:textAlignment w:val="auto"/>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.根据单位职责分工，本单位内设机构包括</w:t>
      </w:r>
      <w:r>
        <w:rPr>
          <w:rFonts w:hint="eastAsia" w:ascii="仿宋" w:hAnsi="仿宋" w:eastAsia="仿宋" w:cs="仿宋"/>
          <w:kern w:val="0"/>
          <w:sz w:val="32"/>
          <w:szCs w:val="32"/>
          <w:lang w:val="en-US" w:eastAsia="zh-CN"/>
        </w:rPr>
        <w:t>17个科室</w:t>
      </w:r>
      <w:r>
        <w:rPr>
          <w:rFonts w:hint="eastAsia" w:ascii="仿宋" w:hAnsi="仿宋" w:eastAsia="仿宋" w:cs="仿宋"/>
          <w:kern w:val="0"/>
          <w:sz w:val="32"/>
          <w:szCs w:val="32"/>
        </w:rPr>
        <w:t>。本单位下属单位</w:t>
      </w:r>
      <w:r>
        <w:rPr>
          <w:rFonts w:hint="eastAsia" w:ascii="仿宋" w:hAnsi="仿宋" w:eastAsia="仿宋" w:cs="仿宋"/>
          <w:kern w:val="0"/>
          <w:sz w:val="32"/>
          <w:szCs w:val="32"/>
          <w:lang w:val="en-US" w:eastAsia="zh-CN"/>
        </w:rPr>
        <w:t>8个</w:t>
      </w:r>
      <w:r>
        <w:rPr>
          <w:rFonts w:hint="eastAsia" w:ascii="仿宋" w:hAnsi="仿宋" w:eastAsia="仿宋" w:cs="仿宋"/>
          <w:kern w:val="0"/>
          <w:sz w:val="32"/>
          <w:szCs w:val="32"/>
        </w:rPr>
        <w:t>包括：巴彦淖尔市城市生活垃圾分类指导中心</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巴彦淖尔市住房公积金中心</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巴彦淖尔市城市新区发展中心</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巴彦淖尔市住房和城乡建设综合保障服务中心</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巴彦淖尔市城乡建设绿色节能发展中心</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巴彦淖尔市房屋产权交易中心</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巴彦淖尔市建设工程质量安全技术服务中心</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巴彦淖尔市建设工程消防技术服务中心。</w:t>
      </w:r>
    </w:p>
    <w:p w14:paraId="631D76E5">
      <w:pPr>
        <w:keepNext w:val="0"/>
        <w:keepLines w:val="0"/>
        <w:pageBreakBefore w:val="0"/>
        <w:widowControl/>
        <w:kinsoku/>
        <w:wordWrap/>
        <w:overflowPunct/>
        <w:topLinePunct w:val="0"/>
        <w:autoSpaceDE/>
        <w:autoSpaceDN/>
        <w:bidi w:val="0"/>
        <w:adjustRightInd/>
        <w:snapToGrid/>
        <w:ind w:firstLine="482"/>
        <w:textAlignment w:val="auto"/>
        <w:rPr>
          <w:rFonts w:hint="eastAsia" w:ascii="仿宋" w:hAnsi="仿宋" w:eastAsia="仿宋" w:cs="仿宋"/>
          <w:kern w:val="0"/>
          <w:sz w:val="32"/>
          <w:szCs w:val="32"/>
        </w:rPr>
      </w:pPr>
      <w:r>
        <w:rPr>
          <w:rFonts w:hint="eastAsia" w:ascii="仿宋" w:hAnsi="仿宋" w:eastAsia="仿宋" w:cs="仿宋"/>
          <w:kern w:val="0"/>
          <w:sz w:val="32"/>
          <w:szCs w:val="32"/>
        </w:rPr>
        <w:t xml:space="preserve"> 2.从决算单位构成看，纳入本单位决算编制范围的预算单位共计</w:t>
      </w:r>
      <w:r>
        <w:rPr>
          <w:rFonts w:hint="eastAsia" w:ascii="仿宋" w:hAnsi="仿宋" w:eastAsia="仿宋" w:cs="仿宋"/>
          <w:kern w:val="0"/>
          <w:sz w:val="32"/>
          <w:szCs w:val="32"/>
          <w:u w:val="single"/>
          <w:lang w:val="en-US" w:eastAsia="zh-CN"/>
        </w:rPr>
        <w:t>1</w:t>
      </w:r>
      <w:r>
        <w:rPr>
          <w:rFonts w:hint="eastAsia" w:ascii="仿宋" w:hAnsi="仿宋" w:eastAsia="仿宋" w:cs="仿宋"/>
          <w:kern w:val="0"/>
          <w:sz w:val="32"/>
          <w:szCs w:val="32"/>
        </w:rPr>
        <w:t>家，具体包括：</w:t>
      </w:r>
      <w:r>
        <w:rPr>
          <w:rFonts w:hint="eastAsia" w:ascii="仿宋" w:hAnsi="仿宋" w:eastAsia="仿宋" w:cs="仿宋"/>
          <w:kern w:val="0"/>
          <w:sz w:val="32"/>
          <w:szCs w:val="32"/>
          <w:lang w:val="en-US" w:eastAsia="zh-CN"/>
        </w:rPr>
        <w:t>巴彦淖尔市住房和城乡建设局</w:t>
      </w:r>
      <w:r>
        <w:rPr>
          <w:rFonts w:hint="eastAsia" w:ascii="仿宋" w:hAnsi="仿宋" w:eastAsia="仿宋" w:cs="仿宋"/>
          <w:kern w:val="0"/>
          <w:sz w:val="32"/>
          <w:szCs w:val="32"/>
        </w:rPr>
        <w:t>本级</w:t>
      </w:r>
      <w:r>
        <w:rPr>
          <w:rFonts w:hint="eastAsia" w:ascii="仿宋" w:hAnsi="仿宋" w:eastAsia="仿宋" w:cs="仿宋"/>
          <w:kern w:val="0"/>
          <w:sz w:val="32"/>
          <w:szCs w:val="32"/>
          <w:lang w:val="en-US" w:eastAsia="zh-CN"/>
        </w:rPr>
        <w:t>单位</w:t>
      </w:r>
      <w:r>
        <w:rPr>
          <w:rFonts w:hint="eastAsia" w:ascii="仿宋" w:hAnsi="仿宋" w:eastAsia="仿宋" w:cs="仿宋"/>
          <w:kern w:val="0"/>
          <w:sz w:val="32"/>
          <w:szCs w:val="32"/>
        </w:rPr>
        <w:t>。详细情况见表：</w:t>
      </w:r>
    </w:p>
    <w:tbl>
      <w:tblPr>
        <w:tblStyle w:val="9"/>
        <w:tblW w:w="9604" w:type="dxa"/>
        <w:jc w:val="center"/>
        <w:tblCellSpacing w:w="15"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fixed"/>
        <w:tblCellMar>
          <w:top w:w="15" w:type="dxa"/>
          <w:left w:w="15" w:type="dxa"/>
          <w:bottom w:w="15" w:type="dxa"/>
          <w:right w:w="15" w:type="dxa"/>
        </w:tblCellMar>
      </w:tblPr>
      <w:tblGrid>
        <w:gridCol w:w="1072"/>
        <w:gridCol w:w="6306"/>
        <w:gridCol w:w="2226"/>
      </w:tblGrid>
      <w:tr w14:paraId="7045843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460" w:hRule="atLeast"/>
          <w:tblHeader/>
          <w:tblCellSpacing w:w="15" w:type="dxa"/>
          <w:jc w:val="center"/>
        </w:trPr>
        <w:tc>
          <w:tcPr>
            <w:tcW w:w="1027"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6700C72C">
            <w:pPr>
              <w:widowControl/>
              <w:jc w:val="center"/>
              <w:rPr>
                <w:rFonts w:hint="eastAsia" w:ascii="仿宋" w:hAnsi="仿宋" w:eastAsia="仿宋" w:cs="仿宋"/>
                <w:b w:val="0"/>
                <w:bCs w:val="0"/>
                <w:i w:val="0"/>
                <w:iCs w:val="0"/>
                <w:smallCaps w:val="0"/>
                <w:color w:val="000000"/>
                <w:kern w:val="0"/>
                <w:sz w:val="32"/>
                <w:szCs w:val="32"/>
              </w:rPr>
            </w:pPr>
            <w:r>
              <w:rPr>
                <w:rFonts w:hint="eastAsia" w:ascii="仿宋" w:hAnsi="仿宋" w:eastAsia="仿宋" w:cs="仿宋"/>
                <w:b w:val="0"/>
                <w:bCs w:val="0"/>
                <w:i w:val="0"/>
                <w:iCs w:val="0"/>
                <w:smallCaps w:val="0"/>
                <w:color w:val="000000"/>
                <w:kern w:val="0"/>
                <w:sz w:val="32"/>
                <w:szCs w:val="32"/>
              </w:rPr>
              <w:t>序号</w:t>
            </w:r>
          </w:p>
        </w:tc>
        <w:tc>
          <w:tcPr>
            <w:tcW w:w="627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4B697CF9">
            <w:pPr>
              <w:widowControl/>
              <w:jc w:val="center"/>
              <w:rPr>
                <w:rFonts w:hint="eastAsia" w:ascii="仿宋" w:hAnsi="仿宋" w:eastAsia="仿宋" w:cs="仿宋"/>
                <w:b w:val="0"/>
                <w:bCs w:val="0"/>
                <w:i w:val="0"/>
                <w:iCs w:val="0"/>
                <w:smallCaps w:val="0"/>
                <w:color w:val="000000"/>
                <w:kern w:val="0"/>
                <w:sz w:val="32"/>
                <w:szCs w:val="32"/>
              </w:rPr>
            </w:pPr>
            <w:r>
              <w:rPr>
                <w:rFonts w:hint="eastAsia" w:ascii="仿宋" w:hAnsi="仿宋" w:eastAsia="仿宋" w:cs="仿宋"/>
                <w:b w:val="0"/>
                <w:bCs w:val="0"/>
                <w:i w:val="0"/>
                <w:iCs w:val="0"/>
                <w:smallCaps w:val="0"/>
                <w:color w:val="000000"/>
                <w:kern w:val="0"/>
                <w:sz w:val="32"/>
                <w:szCs w:val="32"/>
              </w:rPr>
              <w:t>单位名称</w:t>
            </w:r>
          </w:p>
        </w:tc>
        <w:tc>
          <w:tcPr>
            <w:tcW w:w="218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7769CC44">
            <w:pPr>
              <w:widowControl/>
              <w:jc w:val="center"/>
              <w:rPr>
                <w:rFonts w:hint="eastAsia" w:ascii="仿宋" w:hAnsi="仿宋" w:eastAsia="仿宋" w:cs="仿宋"/>
                <w:b w:val="0"/>
                <w:bCs w:val="0"/>
                <w:i w:val="0"/>
                <w:iCs w:val="0"/>
                <w:smallCaps w:val="0"/>
                <w:color w:val="000000"/>
                <w:kern w:val="0"/>
                <w:sz w:val="32"/>
                <w:szCs w:val="32"/>
              </w:rPr>
            </w:pPr>
            <w:r>
              <w:rPr>
                <w:rFonts w:hint="eastAsia" w:ascii="仿宋" w:hAnsi="仿宋" w:eastAsia="仿宋" w:cs="仿宋"/>
                <w:b w:val="0"/>
                <w:bCs w:val="0"/>
                <w:i w:val="0"/>
                <w:iCs w:val="0"/>
                <w:smallCaps w:val="0"/>
                <w:color w:val="000000"/>
                <w:kern w:val="0"/>
                <w:sz w:val="32"/>
                <w:szCs w:val="32"/>
              </w:rPr>
              <w:t>单位性质</w:t>
            </w:r>
          </w:p>
        </w:tc>
      </w:tr>
      <w:tr w14:paraId="3192E9E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8" w:hRule="atLeast"/>
          <w:tblCellSpacing w:w="15" w:type="dxa"/>
          <w:jc w:val="center"/>
        </w:trPr>
        <w:tc>
          <w:tcPr>
            <w:tcW w:w="1027"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0BDA87D3">
            <w:pPr>
              <w:widowControl/>
              <w:jc w:val="center"/>
              <w:rPr>
                <w:rFonts w:hint="eastAsia" w:ascii="仿宋" w:hAnsi="仿宋" w:eastAsia="仿宋" w:cs="仿宋"/>
                <w:b w:val="0"/>
                <w:bCs w:val="0"/>
                <w:i w:val="0"/>
                <w:iCs w:val="0"/>
                <w:smallCaps w:val="0"/>
                <w:color w:val="000000"/>
                <w:kern w:val="0"/>
                <w:sz w:val="32"/>
                <w:szCs w:val="32"/>
              </w:rPr>
            </w:pPr>
            <w:r>
              <w:rPr>
                <w:rFonts w:hint="eastAsia" w:ascii="仿宋" w:hAnsi="仿宋" w:eastAsia="仿宋" w:cs="仿宋"/>
                <w:b w:val="0"/>
                <w:bCs w:val="0"/>
                <w:i w:val="0"/>
                <w:iCs w:val="0"/>
                <w:smallCaps w:val="0"/>
                <w:color w:val="000000"/>
                <w:kern w:val="0"/>
                <w:sz w:val="32"/>
                <w:szCs w:val="32"/>
              </w:rPr>
              <w:t>1</w:t>
            </w:r>
          </w:p>
        </w:tc>
        <w:tc>
          <w:tcPr>
            <w:tcW w:w="6276"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50E4EAB3">
            <w:pPr>
              <w:widowControl/>
              <w:jc w:val="left"/>
              <w:rPr>
                <w:rFonts w:hint="eastAsia" w:ascii="仿宋" w:hAnsi="仿宋" w:eastAsia="仿宋" w:cs="仿宋"/>
                <w:b w:val="0"/>
                <w:bCs w:val="0"/>
                <w:i w:val="0"/>
                <w:iCs w:val="0"/>
                <w:smallCaps w:val="0"/>
                <w:color w:val="000000"/>
                <w:kern w:val="0"/>
                <w:sz w:val="32"/>
                <w:szCs w:val="32"/>
              </w:rPr>
            </w:pPr>
            <w:r>
              <w:rPr>
                <w:rFonts w:hint="eastAsia" w:ascii="仿宋" w:hAnsi="仿宋" w:eastAsia="仿宋" w:cs="仿宋"/>
                <w:kern w:val="0"/>
                <w:sz w:val="32"/>
                <w:szCs w:val="32"/>
                <w:lang w:val="en-US" w:eastAsia="zh-CN"/>
              </w:rPr>
              <w:t>巴彦淖尔市住房和城乡建设局</w:t>
            </w:r>
          </w:p>
        </w:tc>
        <w:tc>
          <w:tcPr>
            <w:tcW w:w="2181" w:type="dxa"/>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4452BAD0">
            <w:pPr>
              <w:widowControl/>
              <w:jc w:val="left"/>
              <w:rPr>
                <w:rFonts w:hint="eastAsia" w:ascii="仿宋" w:hAnsi="仿宋" w:eastAsia="仿宋" w:cs="仿宋"/>
                <w:b w:val="0"/>
                <w:bCs w:val="0"/>
                <w:i w:val="0"/>
                <w:iCs w:val="0"/>
                <w:smallCaps w:val="0"/>
                <w:color w:val="000000"/>
                <w:kern w:val="0"/>
                <w:sz w:val="32"/>
                <w:szCs w:val="32"/>
              </w:rPr>
            </w:pPr>
            <w:r>
              <w:rPr>
                <w:rFonts w:hint="eastAsia" w:ascii="仿宋" w:hAnsi="仿宋" w:eastAsia="仿宋" w:cs="仿宋"/>
                <w:b w:val="0"/>
                <w:bCs w:val="0"/>
                <w:i w:val="0"/>
                <w:iCs w:val="0"/>
                <w:smallCaps w:val="0"/>
                <w:color w:val="000000"/>
                <w:kern w:val="0"/>
                <w:sz w:val="32"/>
                <w:szCs w:val="32"/>
              </w:rPr>
              <w:t>行政单位</w:t>
            </w:r>
          </w:p>
        </w:tc>
      </w:tr>
    </w:tbl>
    <w:p w14:paraId="6F69C3EE">
      <w:pPr>
        <w:keepNext w:val="0"/>
        <w:keepLines w:val="0"/>
        <w:pageBreakBefore w:val="0"/>
        <w:numPr>
          <w:ilvl w:val="0"/>
          <w:numId w:val="0"/>
        </w:numPr>
        <w:kinsoku/>
        <w:wordWrap/>
        <w:overflowPunct/>
        <w:topLinePunct w:val="0"/>
        <w:bidi w:val="0"/>
        <w:spacing w:line="600" w:lineRule="exact"/>
        <w:ind w:firstLine="640" w:firstLineChars="200"/>
        <w:outlineLvl w:val="2"/>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b w:val="0"/>
          <w:bCs w:val="0"/>
          <w:kern w:val="0"/>
          <w:sz w:val="32"/>
          <w:szCs w:val="32"/>
        </w:rPr>
        <w:t>202</w:t>
      </w:r>
      <w:r>
        <w:rPr>
          <w:rFonts w:hint="eastAsia" w:ascii="黑体" w:hAnsi="黑体" w:eastAsia="黑体" w:cs="黑体"/>
          <w:b w:val="0"/>
          <w:bCs w:val="0"/>
          <w:kern w:val="0"/>
          <w:sz w:val="32"/>
          <w:szCs w:val="32"/>
          <w:lang w:val="en-US" w:eastAsia="zh-CN"/>
        </w:rPr>
        <w:t>5</w:t>
      </w:r>
      <w:r>
        <w:rPr>
          <w:rFonts w:hint="eastAsia" w:ascii="黑体" w:hAnsi="黑体" w:eastAsia="黑体" w:cs="黑体"/>
          <w:kern w:val="0"/>
          <w:sz w:val="32"/>
          <w:szCs w:val="32"/>
        </w:rPr>
        <w:t>年度部门（单位）主要工作完成情况</w:t>
      </w:r>
    </w:p>
    <w:p w14:paraId="64D3DD9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（一）完善住房体系建设</w:t>
      </w:r>
    </w:p>
    <w:p w14:paraId="0A105DD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kern w:val="2"/>
          <w:sz w:val="32"/>
          <w:szCs w:val="32"/>
          <w:vertAlign w:val="baseline"/>
          <w:lang w:val="en-US"/>
        </w:rPr>
      </w:pPr>
      <w:r>
        <w:rPr>
          <w:rFonts w:hint="eastAsia" w:ascii="仿宋" w:hAnsi="仿宋" w:eastAsia="仿宋" w:cs="仿宋"/>
          <w:b w:val="0"/>
          <w:bCs w:val="0"/>
          <w:kern w:val="2"/>
          <w:sz w:val="32"/>
          <w:szCs w:val="32"/>
          <w:vertAlign w:val="baseline"/>
          <w:lang w:val="en-US" w:eastAsia="zh-CN" w:bidi="ar"/>
        </w:rPr>
        <w:t>关于防范化解房地产市场风险。紧盯房地产领域存在的乱象顽疾，围绕商品房建设、预售重点环节和开发、中介，持续整顿和规范房地产市场秩序。加强房地产信用体系建设，构建以信用为基础的房地产新型监管机制。加快建立房地产企业红黑名单制度，禁止有不良信誉的房地产企业进入市场，促进房地产市场平稳健康发展。充分发挥房地产业协会行业自律和监督作用，不断规范房地产市场秩序。</w:t>
      </w:r>
    </w:p>
    <w:p w14:paraId="6785A140">
      <w:pPr>
        <w:keepNext w:val="0"/>
        <w:keepLines w:val="0"/>
        <w:pageBreakBefore w:val="0"/>
        <w:widowControl w:val="0"/>
        <w:suppressLineNumbers w:val="0"/>
        <w:kinsoku/>
        <w:wordWrap/>
        <w:overflowPunct/>
        <w:topLinePunct w:val="0"/>
        <w:bidi w:val="0"/>
        <w:spacing w:before="0" w:beforeAutospacing="0" w:after="0" w:afterAutospacing="0" w:line="600" w:lineRule="exact"/>
        <w:ind w:left="0" w:right="0" w:rightChars="0" w:firstLine="640" w:firstLineChars="200"/>
        <w:jc w:val="both"/>
        <w:rPr>
          <w:rFonts w:hint="eastAsia" w:ascii="仿宋" w:hAnsi="仿宋" w:eastAsia="仿宋" w:cs="仿宋"/>
          <w:b w:val="0"/>
          <w:bCs w:val="0"/>
          <w:kern w:val="2"/>
          <w:sz w:val="32"/>
          <w:szCs w:val="32"/>
        </w:rPr>
      </w:pPr>
      <w:r>
        <w:rPr>
          <w:rFonts w:hint="eastAsia" w:ascii="仿宋" w:hAnsi="仿宋" w:eastAsia="仿宋" w:cs="仿宋"/>
          <w:b w:val="0"/>
          <w:bCs w:val="0"/>
          <w:kern w:val="2"/>
          <w:sz w:val="32"/>
          <w:szCs w:val="32"/>
          <w:lang w:val="en-US" w:eastAsia="zh-CN" w:bidi="ar"/>
        </w:rPr>
        <w:t>关于激发房地产市场活力。按照“一城一策”方案要求，健全房地产调控机制。持续对管辖区内房地产开发项目建设情况和工程进度、新建商品房销售和库存情况进行监测分析。</w:t>
      </w:r>
    </w:p>
    <w:p w14:paraId="3B14EE39">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u w:val="single"/>
          <w:vertAlign w:val="baseline"/>
        </w:rPr>
      </w:pPr>
      <w:r>
        <w:rPr>
          <w:rFonts w:hint="eastAsia" w:ascii="仿宋" w:hAnsi="仿宋" w:eastAsia="仿宋" w:cs="仿宋"/>
          <w:b w:val="0"/>
          <w:bCs w:val="0"/>
          <w:color w:val="000000"/>
          <w:kern w:val="0"/>
          <w:sz w:val="32"/>
          <w:szCs w:val="32"/>
          <w:vertAlign w:val="baseline"/>
          <w:lang w:val="en-US" w:eastAsia="zh-CN" w:bidi="ar"/>
        </w:rPr>
        <w:t>关于推动高品质住宅发展。结合房地产市场供求关系发生重大变化的新形势，从增强质量管控能力、完善居住使用功能等方面推动高品质住宅发展，更好满足人民群众对刚性和改善性住房的居住需求。</w:t>
      </w:r>
    </w:p>
    <w:p w14:paraId="26C91B3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u w:val="single"/>
          <w:vertAlign w:val="baseline"/>
        </w:rPr>
      </w:pPr>
      <w:r>
        <w:rPr>
          <w:rFonts w:hint="eastAsia" w:ascii="仿宋" w:hAnsi="仿宋" w:eastAsia="仿宋" w:cs="仿宋"/>
          <w:b w:val="0"/>
          <w:bCs w:val="0"/>
          <w:color w:val="000000"/>
          <w:kern w:val="0"/>
          <w:sz w:val="32"/>
          <w:szCs w:val="32"/>
          <w:vertAlign w:val="baseline"/>
          <w:lang w:val="en-US" w:eastAsia="zh-CN" w:bidi="ar"/>
        </w:rPr>
        <w:t>关于房地产保交楼。按照“保交楼、稳民生”工作要求，严格落实“一楼一策”风险处置方案，提高保交楼专项借款资金循环使用效率，积极协调商业银行落实保交楼配套融资。按照“事要解决”原则，推动剩余5257套“保交楼”任务如期交付，并持续推进保交楼项目配套设施建设。</w:t>
      </w:r>
    </w:p>
    <w:p w14:paraId="3EE763D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u w:val="single"/>
          <w:vertAlign w:val="baseline"/>
        </w:rPr>
      </w:pPr>
      <w:r>
        <w:rPr>
          <w:rFonts w:hint="eastAsia" w:ascii="仿宋" w:hAnsi="仿宋" w:eastAsia="仿宋" w:cs="仿宋"/>
          <w:b w:val="0"/>
          <w:bCs w:val="0"/>
          <w:color w:val="000000"/>
          <w:kern w:val="0"/>
          <w:sz w:val="32"/>
          <w:szCs w:val="32"/>
          <w:vertAlign w:val="baseline"/>
          <w:lang w:val="en-US" w:eastAsia="zh-CN" w:bidi="ar"/>
        </w:rPr>
        <w:t>关于加大住房保障供给。紧盯城镇住房、收入“双困”家庭，计划发放住房保障家庭租赁补贴1492户。通过“留改拆”等多种形式，实施城市危旧房改造32套。做好棚户区改造收尾工作，全面梳理往年棚户区改造项目情况，进一步加快在建项目建设进度，确保按期竣工交付。</w:t>
      </w:r>
    </w:p>
    <w:p w14:paraId="7A481AC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u w:val="single"/>
          <w:vertAlign w:val="baseline"/>
        </w:rPr>
      </w:pPr>
      <w:r>
        <w:rPr>
          <w:rFonts w:hint="eastAsia" w:ascii="仿宋" w:hAnsi="仿宋" w:eastAsia="仿宋" w:cs="仿宋"/>
          <w:b w:val="0"/>
          <w:bCs w:val="0"/>
          <w:color w:val="000000"/>
          <w:kern w:val="0"/>
          <w:sz w:val="32"/>
          <w:szCs w:val="32"/>
          <w:vertAlign w:val="baseline"/>
          <w:lang w:val="en-US" w:eastAsia="zh-CN" w:bidi="ar"/>
        </w:rPr>
        <w:t>关于公积金管理。全面落实住房公积金缴存、提取和贷款管理办法，稳步推进灵活就业人员建立住房公积金制度，协调将缴存住房公积金列入劳动合同示范文本，加大对新市民、青年人租房提取支持力度</w:t>
      </w:r>
      <w:r>
        <w:rPr>
          <w:rFonts w:hint="eastAsia" w:ascii="仿宋" w:hAnsi="仿宋" w:eastAsia="仿宋" w:cs="仿宋"/>
          <w:b w:val="0"/>
          <w:bCs w:val="0"/>
          <w:color w:val="000000"/>
          <w:kern w:val="0"/>
          <w:sz w:val="32"/>
          <w:szCs w:val="32"/>
          <w:vertAlign w:val="baseline"/>
          <w:lang w:eastAsia="zh-CN" w:bidi="ar"/>
        </w:rPr>
        <w:t>，</w:t>
      </w:r>
      <w:r>
        <w:rPr>
          <w:rFonts w:hint="eastAsia" w:ascii="仿宋" w:hAnsi="仿宋" w:eastAsia="仿宋" w:cs="仿宋"/>
          <w:b w:val="0"/>
          <w:bCs w:val="0"/>
          <w:color w:val="000000"/>
          <w:kern w:val="0"/>
          <w:sz w:val="32"/>
          <w:szCs w:val="32"/>
          <w:vertAlign w:val="baseline"/>
          <w:lang w:val="en-US" w:eastAsia="zh-CN" w:bidi="ar"/>
        </w:rPr>
        <w:t>加强贷款全流程管理，有效降低个贷逾期率、不良率。</w:t>
      </w:r>
    </w:p>
    <w:p w14:paraId="5C1F360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lang w:val="en-US" w:eastAsia="zh-CN" w:bidi="ar"/>
        </w:rPr>
      </w:pPr>
      <w:r>
        <w:rPr>
          <w:rFonts w:hint="eastAsia" w:ascii="仿宋" w:hAnsi="仿宋" w:eastAsia="仿宋" w:cs="仿宋"/>
          <w:b w:val="0"/>
          <w:bCs w:val="0"/>
          <w:color w:val="000000"/>
          <w:kern w:val="0"/>
          <w:sz w:val="32"/>
          <w:szCs w:val="32"/>
          <w:vertAlign w:val="baseline"/>
          <w:lang w:val="en-US" w:eastAsia="zh-CN" w:bidi="ar"/>
        </w:rPr>
        <w:t>（二）提升城市功能品质</w:t>
      </w:r>
    </w:p>
    <w:p w14:paraId="6FB18733">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关于城市体检与城市更新。全面开展城市体检工作，大力推进城市地下给排水、供热、供气管网更新改造。持续解决中心城区“久拆不动”“拆而不净”等历史遗留问题</w:t>
      </w:r>
      <w:r>
        <w:rPr>
          <w:rFonts w:hint="eastAsia" w:ascii="仿宋" w:hAnsi="仿宋" w:eastAsia="仿宋" w:cs="仿宋"/>
          <w:b w:val="0"/>
          <w:bCs w:val="0"/>
          <w:color w:val="000000"/>
          <w:kern w:val="0"/>
          <w:sz w:val="32"/>
          <w:szCs w:val="32"/>
          <w:vertAlign w:val="baseline"/>
          <w:lang w:eastAsia="zh-CN" w:bidi="ar"/>
        </w:rPr>
        <w:t>，</w:t>
      </w:r>
      <w:r>
        <w:rPr>
          <w:rFonts w:hint="eastAsia" w:ascii="仿宋" w:hAnsi="仿宋" w:eastAsia="仿宋" w:cs="仿宋"/>
          <w:b w:val="0"/>
          <w:bCs w:val="0"/>
          <w:color w:val="000000"/>
          <w:kern w:val="0"/>
          <w:sz w:val="32"/>
          <w:szCs w:val="32"/>
          <w:vertAlign w:val="baseline"/>
          <w:lang w:val="en-US" w:eastAsia="zh-CN" w:bidi="ar"/>
        </w:rPr>
        <w:t>筹资启动临河区丰州路贯通工程</w:t>
      </w:r>
      <w:r>
        <w:rPr>
          <w:rFonts w:hint="eastAsia" w:ascii="仿宋" w:hAnsi="仿宋" w:eastAsia="仿宋" w:cs="仿宋"/>
          <w:b w:val="0"/>
          <w:bCs w:val="0"/>
          <w:color w:val="000000"/>
          <w:kern w:val="0"/>
          <w:sz w:val="32"/>
          <w:szCs w:val="32"/>
          <w:vertAlign w:val="baseline"/>
          <w:lang w:eastAsia="zh-CN" w:bidi="ar"/>
        </w:rPr>
        <w:t>。</w:t>
      </w:r>
      <w:r>
        <w:rPr>
          <w:rFonts w:hint="eastAsia" w:ascii="仿宋" w:hAnsi="仿宋" w:eastAsia="仿宋" w:cs="仿宋"/>
          <w:b w:val="0"/>
          <w:bCs w:val="0"/>
          <w:color w:val="000000"/>
          <w:kern w:val="0"/>
          <w:sz w:val="32"/>
          <w:szCs w:val="32"/>
          <w:vertAlign w:val="baseline"/>
          <w:lang w:val="en-US" w:eastAsia="zh-CN" w:bidi="ar"/>
        </w:rPr>
        <w:t>全力整治城市“伤疤”，加大对城区老旧破损路面、管道、广场等市政基础设施修缮维护力度，科学精准推进“口袋公园”、城市绿道建设。坚持“无体检不更新”原则，建立城市体检发现问题、城市更新解决问题、评估更新效果、推动巩固提升工作机制。</w:t>
      </w:r>
    </w:p>
    <w:p w14:paraId="6B47C68E">
      <w:pPr>
        <w:keepNext w:val="0"/>
        <w:keepLines w:val="0"/>
        <w:pageBreakBefore w:val="0"/>
        <w:widowControl w:val="0"/>
        <w:suppressLineNumbers w:val="0"/>
        <w:kinsoku/>
        <w:wordWrap/>
        <w:overflowPunct/>
        <w:topLinePunct w:val="0"/>
        <w:autoSpaceDE w:val="0"/>
        <w:autoSpaceDN/>
        <w:bidi w:val="0"/>
        <w:spacing w:before="0" w:beforeAutospacing="0" w:after="0" w:afterAutospacing="0" w:line="600" w:lineRule="exact"/>
        <w:ind w:left="0" w:right="0" w:firstLine="640" w:firstLineChars="200"/>
        <w:jc w:val="both"/>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lang w:val="en-US" w:eastAsia="zh-CN" w:bidi="ar"/>
        </w:rPr>
        <w:t>关于北方地区冬季清洁取暖项目。</w:t>
      </w:r>
      <w:r>
        <w:rPr>
          <w:rFonts w:hint="eastAsia" w:ascii="仿宋" w:hAnsi="仿宋" w:eastAsia="仿宋" w:cs="仿宋"/>
          <w:b w:val="0"/>
          <w:bCs w:val="0"/>
          <w:color w:val="000000"/>
          <w:kern w:val="2"/>
          <w:sz w:val="32"/>
          <w:szCs w:val="32"/>
          <w:lang w:val="en-US" w:eastAsia="zh-CN" w:bidi="ar"/>
        </w:rPr>
        <w:t>今年是实施冬季清</w:t>
      </w:r>
      <w:r>
        <w:rPr>
          <w:rFonts w:hint="eastAsia" w:ascii="仿宋" w:hAnsi="仿宋" w:eastAsia="仿宋" w:cs="仿宋"/>
          <w:b w:val="0"/>
          <w:bCs w:val="0"/>
          <w:color w:val="000000"/>
          <w:kern w:val="0"/>
          <w:sz w:val="32"/>
          <w:szCs w:val="32"/>
          <w:vertAlign w:val="baseline"/>
          <w:lang w:val="en-US" w:eastAsia="zh-CN" w:bidi="ar"/>
        </w:rPr>
        <w:t>洁取暖项目的最后一年，要组织各方力量抓工期、保质量</w:t>
      </w:r>
      <w:r>
        <w:rPr>
          <w:rFonts w:hint="eastAsia" w:ascii="仿宋" w:hAnsi="仿宋" w:eastAsia="仿宋" w:cs="仿宋"/>
          <w:b w:val="0"/>
          <w:bCs w:val="0"/>
          <w:color w:val="000000"/>
          <w:kern w:val="0"/>
          <w:sz w:val="32"/>
          <w:szCs w:val="32"/>
          <w:vertAlign w:val="baseline"/>
          <w:lang w:eastAsia="zh-CN" w:bidi="ar"/>
        </w:rPr>
        <w:t>，6月底前完成</w:t>
      </w:r>
      <w:r>
        <w:rPr>
          <w:rFonts w:hint="eastAsia" w:ascii="仿宋" w:hAnsi="仿宋" w:eastAsia="仿宋" w:cs="仿宋"/>
          <w:b w:val="0"/>
          <w:bCs w:val="0"/>
          <w:color w:val="000000"/>
          <w:kern w:val="0"/>
          <w:sz w:val="32"/>
          <w:szCs w:val="32"/>
          <w:vertAlign w:val="baseline"/>
          <w:lang w:val="en-US" w:eastAsia="zh-CN" w:bidi="ar"/>
        </w:rPr>
        <w:t>煤改电设备安装</w:t>
      </w:r>
      <w:r>
        <w:rPr>
          <w:rFonts w:hint="eastAsia" w:ascii="仿宋" w:hAnsi="仿宋" w:eastAsia="仿宋" w:cs="仿宋"/>
          <w:b w:val="0"/>
          <w:bCs w:val="0"/>
          <w:color w:val="000000"/>
          <w:kern w:val="0"/>
          <w:sz w:val="32"/>
          <w:szCs w:val="32"/>
          <w:vertAlign w:val="baseline"/>
          <w:lang w:eastAsia="zh-CN" w:bidi="ar"/>
        </w:rPr>
        <w:t>工作</w:t>
      </w:r>
      <w:r>
        <w:rPr>
          <w:rFonts w:hint="eastAsia" w:ascii="仿宋" w:hAnsi="仿宋" w:eastAsia="仿宋" w:cs="仿宋"/>
          <w:b w:val="0"/>
          <w:bCs w:val="0"/>
          <w:color w:val="000000"/>
          <w:kern w:val="0"/>
          <w:sz w:val="32"/>
          <w:szCs w:val="32"/>
          <w:vertAlign w:val="baseline"/>
          <w:lang w:val="en-US" w:eastAsia="zh-CN" w:bidi="ar"/>
        </w:rPr>
        <w:t>。项目完工后及时组织</w:t>
      </w:r>
      <w:r>
        <w:rPr>
          <w:rFonts w:hint="eastAsia" w:ascii="仿宋" w:hAnsi="仿宋" w:eastAsia="仿宋" w:cs="仿宋"/>
          <w:b w:val="0"/>
          <w:bCs w:val="0"/>
          <w:color w:val="000000"/>
          <w:kern w:val="2"/>
          <w:sz w:val="32"/>
          <w:szCs w:val="32"/>
          <w:lang w:val="en-US" w:eastAsia="zh-CN" w:bidi="ar"/>
        </w:rPr>
        <w:t>竣工验收，针对前两年未完工、未验收的项目，务必全面赶上进度。</w:t>
      </w:r>
      <w:r>
        <w:rPr>
          <w:rFonts w:hint="eastAsia" w:ascii="仿宋" w:hAnsi="仿宋" w:eastAsia="仿宋" w:cs="仿宋"/>
          <w:b w:val="0"/>
          <w:bCs w:val="0"/>
          <w:color w:val="000000"/>
          <w:kern w:val="0"/>
          <w:sz w:val="32"/>
          <w:szCs w:val="32"/>
          <w:lang w:val="en-US" w:eastAsia="zh-CN" w:bidi="ar"/>
        </w:rPr>
        <w:t>要做好迎接国家、自治区绩效评价的准备工作，</w:t>
      </w:r>
      <w:r>
        <w:rPr>
          <w:rFonts w:hint="eastAsia" w:ascii="仿宋" w:hAnsi="仿宋" w:eastAsia="仿宋" w:cs="仿宋"/>
          <w:b w:val="0"/>
          <w:bCs w:val="0"/>
          <w:color w:val="000000"/>
          <w:kern w:val="2"/>
          <w:sz w:val="32"/>
          <w:szCs w:val="32"/>
          <w:lang w:val="en-US" w:eastAsia="zh-CN" w:bidi="ar"/>
        </w:rPr>
        <w:t>强化完善从项目立项、招投标、施工、监理、竣工验收等环节的管理，规范建立项目台账和工作台账档案，</w:t>
      </w:r>
      <w:r>
        <w:rPr>
          <w:rFonts w:hint="eastAsia" w:ascii="仿宋" w:hAnsi="仿宋" w:eastAsia="仿宋" w:cs="仿宋"/>
          <w:b w:val="0"/>
          <w:bCs w:val="0"/>
          <w:kern w:val="2"/>
          <w:sz w:val="32"/>
          <w:szCs w:val="32"/>
          <w:lang w:val="en-US" w:eastAsia="zh-CN" w:bidi="ar"/>
        </w:rPr>
        <w:t>把这项利国利民的好事办好，实事办实。</w:t>
      </w:r>
    </w:p>
    <w:p w14:paraId="0545E46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关于老旧小区改造。2023年老旧小区改造尚未完工的，要在今年5月份复工，确保10月底前完工。</w:t>
      </w:r>
      <w:r>
        <w:rPr>
          <w:rFonts w:hint="eastAsia" w:ascii="仿宋" w:hAnsi="仿宋" w:eastAsia="仿宋" w:cs="仿宋"/>
          <w:b w:val="0"/>
          <w:bCs w:val="0"/>
          <w:color w:val="000000"/>
          <w:kern w:val="0"/>
          <w:sz w:val="32"/>
          <w:szCs w:val="32"/>
          <w:vertAlign w:val="baseline"/>
          <w:lang w:eastAsia="zh-CN" w:bidi="ar"/>
        </w:rPr>
        <w:t>今</w:t>
      </w:r>
      <w:r>
        <w:rPr>
          <w:rFonts w:hint="eastAsia" w:ascii="仿宋" w:hAnsi="仿宋" w:eastAsia="仿宋" w:cs="仿宋"/>
          <w:b w:val="0"/>
          <w:bCs w:val="0"/>
          <w:color w:val="000000"/>
          <w:kern w:val="0"/>
          <w:sz w:val="32"/>
          <w:szCs w:val="32"/>
          <w:vertAlign w:val="baseline"/>
          <w:lang w:val="en-US" w:eastAsia="zh-CN" w:bidi="ar"/>
        </w:rPr>
        <w:t>年全市计划改造老旧小区97个、193.43万平方米、536栋楼、涉及20181户居民，要提前开展入户征求意见、设计、招标等前期工作，在4月底前完成施工许可证办理，5月</w:t>
      </w:r>
      <w:r>
        <w:rPr>
          <w:rFonts w:hint="eastAsia" w:ascii="仿宋" w:hAnsi="仿宋" w:eastAsia="仿宋" w:cs="仿宋"/>
          <w:b w:val="0"/>
          <w:bCs w:val="0"/>
          <w:color w:val="000000"/>
          <w:kern w:val="0"/>
          <w:sz w:val="32"/>
          <w:szCs w:val="32"/>
          <w:vertAlign w:val="baseline"/>
          <w:lang w:eastAsia="zh-CN" w:bidi="ar"/>
        </w:rPr>
        <w:t>底前</w:t>
      </w:r>
      <w:r>
        <w:rPr>
          <w:rFonts w:hint="eastAsia" w:ascii="仿宋" w:hAnsi="仿宋" w:eastAsia="仿宋" w:cs="仿宋"/>
          <w:b w:val="0"/>
          <w:bCs w:val="0"/>
          <w:color w:val="000000"/>
          <w:kern w:val="0"/>
          <w:sz w:val="32"/>
          <w:szCs w:val="32"/>
          <w:vertAlign w:val="baseline"/>
          <w:lang w:val="en-US" w:eastAsia="zh-CN" w:bidi="ar"/>
        </w:rPr>
        <w:t>全部开工建设，力争当年基本完工。计划到“十四五”末，基本完成2000年前建成的老旧小区改造。持续推进完整居住社区建设工作，特别是临河区要加快推进2023年完整居住社区建设工作，确需调整项目的，要加快办理变更手续。</w:t>
      </w:r>
    </w:p>
    <w:p w14:paraId="409EB2FF">
      <w:pPr>
        <w:keepNext w:val="0"/>
        <w:keepLines w:val="0"/>
        <w:pageBreakBefore w:val="0"/>
        <w:widowControl w:val="0"/>
        <w:suppressLineNumbers w:val="0"/>
        <w:kinsoku/>
        <w:wordWrap/>
        <w:overflowPunct/>
        <w:topLinePunct w:val="0"/>
        <w:autoSpaceDE w:val="0"/>
        <w:autoSpaceDN/>
        <w:bidi w:val="0"/>
        <w:spacing w:before="0" w:beforeAutospacing="0" w:after="0" w:afterAutospacing="0" w:line="600" w:lineRule="exact"/>
        <w:ind w:left="0" w:right="0" w:rightChars="0" w:firstLine="640" w:firstLineChars="200"/>
        <w:jc w:val="both"/>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lang w:val="en-US" w:eastAsia="zh-CN" w:bidi="ar"/>
        </w:rPr>
        <w:t>关于城市基础设施建设。</w:t>
      </w:r>
      <w:r>
        <w:rPr>
          <w:rFonts w:hint="eastAsia" w:ascii="仿宋" w:hAnsi="仿宋" w:eastAsia="仿宋" w:cs="仿宋"/>
          <w:b w:val="0"/>
          <w:bCs w:val="0"/>
          <w:color w:val="000000"/>
          <w:kern w:val="0"/>
          <w:sz w:val="32"/>
          <w:szCs w:val="32"/>
          <w:lang w:eastAsia="zh-CN" w:bidi="ar"/>
        </w:rPr>
        <w:t>大力实施燃气、供水、排水、供热四类老旧管网改造工程，</w:t>
      </w:r>
      <w:r>
        <w:rPr>
          <w:rFonts w:hint="eastAsia" w:ascii="仿宋" w:hAnsi="仿宋" w:eastAsia="仿宋" w:cs="仿宋"/>
          <w:b w:val="0"/>
          <w:bCs w:val="0"/>
          <w:color w:val="000000"/>
          <w:kern w:val="0"/>
          <w:sz w:val="32"/>
          <w:szCs w:val="32"/>
          <w:lang w:val="en-US" w:eastAsia="zh-CN" w:bidi="ar"/>
        </w:rPr>
        <w:t>计划新</w:t>
      </w:r>
      <w:r>
        <w:rPr>
          <w:rFonts w:hint="eastAsia" w:ascii="仿宋" w:hAnsi="仿宋" w:eastAsia="仿宋" w:cs="仿宋"/>
          <w:b w:val="0"/>
          <w:bCs w:val="0"/>
          <w:color w:val="000000"/>
          <w:kern w:val="0"/>
          <w:sz w:val="32"/>
          <w:szCs w:val="32"/>
          <w:lang w:eastAsia="zh-CN" w:bidi="ar"/>
        </w:rPr>
        <w:t>改建</w:t>
      </w:r>
      <w:r>
        <w:rPr>
          <w:rFonts w:hint="eastAsia" w:ascii="仿宋" w:hAnsi="仿宋" w:eastAsia="仿宋" w:cs="仿宋"/>
          <w:b w:val="0"/>
          <w:bCs w:val="0"/>
          <w:color w:val="000000"/>
          <w:kern w:val="0"/>
          <w:sz w:val="32"/>
          <w:szCs w:val="32"/>
          <w:lang w:val="en-US" w:eastAsia="zh-CN" w:bidi="ar"/>
        </w:rPr>
        <w:t>各类地下管网80公里。提高城市污水收集处理效能，年底前各旗县区污水收集率达到75%以上、污水处理率达到97%以上、再生水利用率力争达到45%以上。持续推进城镇节水降损，年底力争将管网漏损率降低至9%以内。实施城市排水防涝能力提升工程，加强易涝积水点治理</w:t>
      </w:r>
      <w:r>
        <w:rPr>
          <w:rFonts w:hint="eastAsia" w:ascii="仿宋" w:hAnsi="仿宋" w:eastAsia="仿宋" w:cs="仿宋"/>
          <w:b w:val="0"/>
          <w:bCs w:val="0"/>
          <w:color w:val="000000"/>
          <w:kern w:val="0"/>
          <w:sz w:val="32"/>
          <w:szCs w:val="32"/>
          <w:lang w:eastAsia="zh-CN" w:bidi="ar"/>
        </w:rPr>
        <w:t>工作</w:t>
      </w:r>
      <w:r>
        <w:rPr>
          <w:rFonts w:hint="eastAsia" w:ascii="仿宋" w:hAnsi="仿宋" w:eastAsia="仿宋" w:cs="仿宋"/>
          <w:b w:val="0"/>
          <w:bCs w:val="0"/>
          <w:color w:val="000000"/>
          <w:kern w:val="0"/>
          <w:sz w:val="32"/>
          <w:szCs w:val="32"/>
          <w:lang w:val="en-US" w:eastAsia="zh-CN" w:bidi="ar"/>
        </w:rPr>
        <w:t>。持续推进</w:t>
      </w:r>
      <w:r>
        <w:rPr>
          <w:rFonts w:hint="eastAsia" w:ascii="仿宋" w:hAnsi="仿宋" w:eastAsia="仿宋" w:cs="仿宋"/>
          <w:b w:val="0"/>
          <w:bCs w:val="0"/>
          <w:kern w:val="2"/>
          <w:sz w:val="32"/>
          <w:szCs w:val="32"/>
          <w:lang w:val="en-US" w:eastAsia="zh-CN" w:bidi="ar"/>
        </w:rPr>
        <w:t>北京中医医院内蒙古医院周边市政道路配套建设工程，确保项目按时投入使用。</w:t>
      </w:r>
      <w:r>
        <w:rPr>
          <w:rFonts w:hint="eastAsia" w:ascii="仿宋" w:hAnsi="仿宋" w:eastAsia="仿宋" w:cs="仿宋"/>
          <w:b w:val="0"/>
          <w:bCs w:val="0"/>
          <w:color w:val="000000"/>
          <w:kern w:val="0"/>
          <w:sz w:val="32"/>
          <w:szCs w:val="32"/>
          <w:lang w:val="en-US" w:eastAsia="zh-CN" w:bidi="ar"/>
        </w:rPr>
        <w:t>深度挖掘停车资源，推动停车场由地上向地下延伸。加强城市公共充电桩调查研究，完善城市充电桩建设规划。抓好“无障碍建设示范城市（县）”创建工作，实现全市城镇新建居住区配套建设养老服务设施全覆盖。加强历史文化传承保护，计划完成乌拉特中旗川井邮电所、信用社等10处历史建筑测绘工作。</w:t>
      </w:r>
    </w:p>
    <w:p w14:paraId="28C26CB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关于城市精细化管理。进一步理顺体制机制，建立“一委一办一平台”工作体系。组织召开全市城市精细化管理现场会，深入总结可复制可推广经验做法。深入推进城镇生活垃圾分类工作，年底前取得实质性进展；加强现有生活垃圾填埋场和焚烧场监管，确保终端处理设施安全稳定运行。加大城镇生活垃圾收集、转运、处理设施建设力度，特别是与生活垃圾分类相匹配的餐厨垃圾处理设施及县级地区生活垃圾焚烧设施建设。</w:t>
      </w:r>
    </w:p>
    <w:p w14:paraId="326C1E3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lang w:val="en-US" w:eastAsia="zh-CN" w:bidi="ar"/>
        </w:rPr>
      </w:pPr>
      <w:r>
        <w:rPr>
          <w:rFonts w:hint="eastAsia" w:ascii="仿宋" w:hAnsi="仿宋" w:eastAsia="仿宋" w:cs="仿宋"/>
          <w:b w:val="0"/>
          <w:bCs w:val="0"/>
          <w:color w:val="000000"/>
          <w:kern w:val="0"/>
          <w:sz w:val="32"/>
          <w:szCs w:val="32"/>
          <w:vertAlign w:val="baseline"/>
          <w:lang w:val="en-US" w:eastAsia="zh-CN" w:bidi="ar"/>
        </w:rPr>
        <w:t>关于城市数字化治理。推动信息技术、信息资源与城市发展深度融合，年底前完成城市运行管理服务平台建设可研立项。各旗县要积极推进智慧城管指挥平台的建设和运行，实现视频监控、指挥调度、案件办理、监督管理等数字化城市管理工作。</w:t>
      </w:r>
    </w:p>
    <w:p w14:paraId="24576A3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lang w:val="en-US" w:eastAsia="zh-CN" w:bidi="ar"/>
        </w:rPr>
      </w:pPr>
      <w:r>
        <w:rPr>
          <w:rFonts w:hint="eastAsia" w:ascii="仿宋" w:hAnsi="仿宋" w:eastAsia="仿宋" w:cs="仿宋"/>
          <w:b w:val="0"/>
          <w:bCs w:val="0"/>
          <w:kern w:val="2"/>
          <w:sz w:val="32"/>
          <w:szCs w:val="32"/>
          <w:lang w:val="en-US" w:eastAsia="zh-CN" w:bidi="ar"/>
        </w:rPr>
        <w:t>加强城市管理执法。</w:t>
      </w:r>
      <w:r>
        <w:rPr>
          <w:rFonts w:hint="eastAsia" w:ascii="仿宋" w:hAnsi="仿宋" w:eastAsia="仿宋" w:cs="仿宋"/>
          <w:b w:val="0"/>
          <w:bCs w:val="0"/>
          <w:color w:val="000000"/>
          <w:kern w:val="0"/>
          <w:sz w:val="32"/>
          <w:szCs w:val="32"/>
          <w:vertAlign w:val="baseline"/>
          <w:lang w:val="en-US" w:eastAsia="zh-CN" w:bidi="ar"/>
        </w:rPr>
        <w:t>持续开展城市管理执法队伍“强基础、转作风、树形象”专项行动，全面提升城市管理执法队伍服务质量和水平。抓好以背街小巷、城乡结合部为重点的市容环境集中整治；抓好以噪音污染、扬尘污染等为重点的专项执法行动；抓好以大型建设项目、燃气经营、户外广告为重点的安全生产监督检查，督促行业主体认真落实安全生产主体责任，不断提升行业监管水平，筑牢安全生产防线。</w:t>
      </w:r>
    </w:p>
    <w:p w14:paraId="220DBB35">
      <w:pPr>
        <w:keepNext w:val="0"/>
        <w:keepLines w:val="0"/>
        <w:pageBreakBefore w:val="0"/>
        <w:widowControl w:val="0"/>
        <w:suppressLineNumbers w:val="0"/>
        <w:kinsoku/>
        <w:wordWrap/>
        <w:overflowPunct/>
        <w:topLinePunct w:val="0"/>
        <w:autoSpaceDE w:val="0"/>
        <w:autoSpaceDN/>
        <w:bidi w:val="0"/>
        <w:spacing w:before="0" w:beforeAutospacing="0" w:after="0" w:afterAutospacing="0" w:line="600" w:lineRule="exact"/>
        <w:ind w:left="0" w:right="0" w:rightChars="0" w:firstLine="640" w:firstLineChars="200"/>
        <w:jc w:val="both"/>
        <w:rPr>
          <w:rFonts w:hint="eastAsia" w:ascii="仿宋" w:hAnsi="仿宋" w:eastAsia="仿宋" w:cs="仿宋"/>
          <w:b w:val="0"/>
          <w:bCs w:val="0"/>
          <w:kern w:val="2"/>
          <w:sz w:val="32"/>
          <w:szCs w:val="32"/>
        </w:rPr>
      </w:pPr>
      <w:r>
        <w:rPr>
          <w:rFonts w:hint="eastAsia" w:ascii="仿宋" w:hAnsi="仿宋" w:eastAsia="仿宋" w:cs="仿宋"/>
          <w:b w:val="0"/>
          <w:bCs w:val="0"/>
          <w:kern w:val="2"/>
          <w:sz w:val="32"/>
          <w:szCs w:val="32"/>
          <w:lang w:val="en-US" w:eastAsia="zh-CN" w:bidi="ar"/>
        </w:rPr>
        <w:t>推动物业服务提质增效。推进党建引领红色物业工作，推动基层党组织把关业委会人选、监督业委会日常运作。定期开展物业服务企业信用评价，制定出台《巴彦淖尔市住宅专项维修资金管理办法》，建立应急使用程序，提高资金使用率。充分发挥物业协会桥梁纽带作用，不断改善物业企业服务效率与质量，持续提升业主满意度。以开展住宅小区物业服务全覆盖提品质三年行动为契机，2025年年底实现临河地区建成区物业管理全覆盖，全市业委会（物管委员会）组建率在75%以上。</w:t>
      </w:r>
    </w:p>
    <w:p w14:paraId="4A8C8F2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（三）巩固建筑业支柱产业地位</w:t>
      </w:r>
    </w:p>
    <w:p w14:paraId="052BAF55">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lang w:val="en-US"/>
        </w:rPr>
      </w:pPr>
      <w:r>
        <w:rPr>
          <w:rFonts w:hint="eastAsia" w:ascii="仿宋" w:hAnsi="仿宋" w:eastAsia="仿宋" w:cs="仿宋"/>
          <w:b w:val="0"/>
          <w:bCs w:val="0"/>
          <w:color w:val="000000"/>
          <w:kern w:val="0"/>
          <w:sz w:val="32"/>
          <w:szCs w:val="32"/>
          <w:vertAlign w:val="baseline"/>
          <w:lang w:val="en-US" w:eastAsia="zh-CN" w:bidi="ar"/>
        </w:rPr>
        <w:t>关于推动建筑业“强筋壮骨”。全面落实建筑业三年倍增行动计划，持续打好“内培+外引+人才+平台”组合拳。推动建筑业企业混合所有制改革，积极推进建筑企业“分改子”工作，提升我市建筑业产值和税收。深化校企合作、产教融合，提升行业从业人员职业技能水平。发挥建筑业协会行业导向作用，不断推动建筑业技术进步和创新，促进行业健康发展。</w:t>
      </w:r>
    </w:p>
    <w:p w14:paraId="29645A4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highlight w:val="yellow"/>
          <w:vertAlign w:val="baseline"/>
        </w:rPr>
      </w:pPr>
      <w:r>
        <w:rPr>
          <w:rFonts w:hint="eastAsia" w:ascii="仿宋" w:hAnsi="仿宋" w:eastAsia="仿宋" w:cs="仿宋"/>
          <w:b w:val="0"/>
          <w:bCs w:val="0"/>
          <w:color w:val="000000"/>
          <w:kern w:val="0"/>
          <w:sz w:val="32"/>
          <w:szCs w:val="32"/>
          <w:vertAlign w:val="baseline"/>
          <w:lang w:val="en-US" w:eastAsia="zh-CN" w:bidi="ar"/>
        </w:rPr>
        <w:t>关于发展新型建造方式。加快发展智能建造、绿色建造等新型建造方式，推进建筑信息模型（BIM）、大数据等技术集成应用。持续开展绿色建筑创建行动，城镇竣工绿色建筑占全部竣工建筑面积比例力争达到95%。推进绿色建材推广应用，绿色建材新增推广应用面积力争达到30万平方米。开展智能建造项目试点，新建建筑中装配式建筑面积占比力争达到25%。</w:t>
      </w:r>
    </w:p>
    <w:p w14:paraId="720B229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u w:val="none"/>
          <w:vertAlign w:val="baseline"/>
        </w:rPr>
      </w:pPr>
      <w:r>
        <w:rPr>
          <w:rFonts w:hint="eastAsia" w:ascii="仿宋" w:hAnsi="仿宋" w:eastAsia="仿宋" w:cs="仿宋"/>
          <w:b w:val="0"/>
          <w:bCs w:val="0"/>
          <w:color w:val="000000"/>
          <w:kern w:val="0"/>
          <w:sz w:val="32"/>
          <w:szCs w:val="32"/>
          <w:u w:val="none"/>
          <w:vertAlign w:val="baseline"/>
          <w:lang w:val="en-US" w:eastAsia="zh-CN" w:bidi="ar"/>
        </w:rPr>
        <w:t>关于优化建筑市场环境。加大建筑企业资质认定</w:t>
      </w:r>
      <w:r>
        <w:rPr>
          <w:rFonts w:hint="eastAsia" w:ascii="仿宋" w:hAnsi="仿宋" w:eastAsia="仿宋" w:cs="仿宋"/>
          <w:b w:val="0"/>
          <w:bCs w:val="0"/>
          <w:color w:val="000000"/>
          <w:kern w:val="0"/>
          <w:sz w:val="32"/>
          <w:szCs w:val="32"/>
          <w:u w:val="none"/>
          <w:vertAlign w:val="baseline"/>
          <w:lang w:eastAsia="zh-CN" w:bidi="ar"/>
        </w:rPr>
        <w:t>、</w:t>
      </w:r>
      <w:r>
        <w:rPr>
          <w:rFonts w:hint="eastAsia" w:ascii="仿宋" w:hAnsi="仿宋" w:eastAsia="仿宋" w:cs="仿宋"/>
          <w:b w:val="0"/>
          <w:bCs w:val="0"/>
          <w:color w:val="000000"/>
          <w:kern w:val="0"/>
          <w:sz w:val="32"/>
          <w:szCs w:val="32"/>
          <w:u w:val="none"/>
          <w:vertAlign w:val="baseline"/>
          <w:lang w:val="en-US" w:eastAsia="zh-CN" w:bidi="ar"/>
        </w:rPr>
        <w:t>税费减免等方面的优惠政策供给，推行保险公司、银行和担保公司保函代替现金缴纳保证金，持续为企业减压减负。出台建筑市场信用评价办法，开展企业资质动态核查，完善建筑工人实名制管理，保障农牧民工工资支付。深入开展建筑市场专项整治行动</w:t>
      </w:r>
      <w:r>
        <w:rPr>
          <w:rFonts w:hint="eastAsia" w:ascii="仿宋" w:hAnsi="仿宋" w:eastAsia="仿宋" w:cs="仿宋"/>
          <w:b w:val="0"/>
          <w:bCs w:val="0"/>
          <w:color w:val="000000"/>
          <w:kern w:val="0"/>
          <w:sz w:val="32"/>
          <w:szCs w:val="32"/>
          <w:u w:val="none"/>
          <w:vertAlign w:val="baseline"/>
          <w:lang w:eastAsia="zh-CN" w:bidi="ar"/>
        </w:rPr>
        <w:t>和</w:t>
      </w:r>
      <w:r>
        <w:rPr>
          <w:rFonts w:hint="eastAsia" w:ascii="仿宋" w:hAnsi="仿宋" w:eastAsia="仿宋" w:cs="仿宋"/>
          <w:b w:val="0"/>
          <w:bCs w:val="0"/>
          <w:color w:val="000000"/>
          <w:kern w:val="0"/>
          <w:sz w:val="32"/>
          <w:szCs w:val="32"/>
          <w:u w:val="none"/>
          <w:vertAlign w:val="baseline"/>
          <w:lang w:val="en-US" w:eastAsia="zh-CN" w:bidi="ar"/>
        </w:rPr>
        <w:t>工程造价中介机构突出问题专项整治</w:t>
      </w:r>
      <w:r>
        <w:rPr>
          <w:rFonts w:hint="eastAsia" w:ascii="仿宋" w:hAnsi="仿宋" w:eastAsia="仿宋" w:cs="仿宋"/>
          <w:b w:val="0"/>
          <w:bCs w:val="0"/>
          <w:color w:val="000000"/>
          <w:kern w:val="0"/>
          <w:sz w:val="32"/>
          <w:szCs w:val="32"/>
          <w:u w:val="none"/>
          <w:vertAlign w:val="baseline"/>
          <w:lang w:eastAsia="zh-CN" w:bidi="ar"/>
        </w:rPr>
        <w:t>行动</w:t>
      </w:r>
      <w:r>
        <w:rPr>
          <w:rFonts w:hint="eastAsia" w:ascii="仿宋" w:hAnsi="仿宋" w:eastAsia="仿宋" w:cs="仿宋"/>
          <w:b w:val="0"/>
          <w:bCs w:val="0"/>
          <w:color w:val="000000"/>
          <w:kern w:val="0"/>
          <w:sz w:val="32"/>
          <w:szCs w:val="32"/>
          <w:u w:val="none"/>
          <w:vertAlign w:val="baseline"/>
          <w:lang w:val="en-US" w:eastAsia="zh-CN" w:bidi="ar"/>
        </w:rPr>
        <w:t>，持续净化市场环境。</w:t>
      </w:r>
    </w:p>
    <w:p w14:paraId="6A6AF9F6">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600" w:lineRule="exact"/>
        <w:ind w:left="0" w:leftChars="0" w:right="0" w:rightChars="0" w:firstLine="640" w:firstLineChars="200"/>
        <w:jc w:val="both"/>
        <w:textAlignment w:val="baseline"/>
        <w:rPr>
          <w:rFonts w:hint="eastAsia" w:ascii="仿宋" w:hAnsi="仿宋" w:eastAsia="仿宋" w:cs="仿宋"/>
          <w:b w:val="0"/>
          <w:bCs w:val="0"/>
          <w:color w:val="000000"/>
          <w:kern w:val="0"/>
          <w:sz w:val="32"/>
          <w:szCs w:val="32"/>
          <w:vertAlign w:val="baseline"/>
          <w:lang w:val="en-US" w:eastAsia="zh-CN" w:bidi="ar"/>
        </w:rPr>
      </w:pPr>
      <w:r>
        <w:rPr>
          <w:rFonts w:hint="eastAsia" w:ascii="仿宋" w:hAnsi="仿宋" w:eastAsia="仿宋" w:cs="仿宋"/>
          <w:b w:val="0"/>
          <w:bCs w:val="0"/>
          <w:color w:val="000000"/>
          <w:kern w:val="0"/>
          <w:sz w:val="32"/>
          <w:szCs w:val="32"/>
          <w:vertAlign w:val="baseline"/>
          <w:lang w:eastAsia="zh-CN" w:bidi="ar"/>
        </w:rPr>
        <w:t>（四）稳步</w:t>
      </w:r>
      <w:r>
        <w:rPr>
          <w:rFonts w:hint="eastAsia" w:ascii="仿宋" w:hAnsi="仿宋" w:eastAsia="仿宋" w:cs="仿宋"/>
          <w:b w:val="0"/>
          <w:bCs w:val="0"/>
          <w:color w:val="000000"/>
          <w:kern w:val="0"/>
          <w:sz w:val="32"/>
          <w:szCs w:val="32"/>
          <w:vertAlign w:val="baseline"/>
          <w:lang w:val="en-US" w:eastAsia="zh-CN" w:bidi="ar"/>
        </w:rPr>
        <w:t>推进乡村建设</w:t>
      </w:r>
    </w:p>
    <w:p w14:paraId="2A7C5969">
      <w:pPr>
        <w:keepNext w:val="0"/>
        <w:keepLines w:val="0"/>
        <w:pageBreakBefore w:val="0"/>
        <w:widowControl w:val="0"/>
        <w:numPr>
          <w:ilvl w:val="0"/>
          <w:numId w:val="0"/>
        </w:numPr>
        <w:suppressLineNumbers w:val="0"/>
        <w:kinsoku/>
        <w:wordWrap/>
        <w:overflowPunct/>
        <w:topLinePunct w:val="0"/>
        <w:autoSpaceDE w:val="0"/>
        <w:autoSpaceDN w:val="0"/>
        <w:bidi w:val="0"/>
        <w:adjustRightInd w:val="0"/>
        <w:snapToGrid w:val="0"/>
        <w:spacing w:before="0" w:beforeAutospacing="0" w:after="0" w:afterAutospacing="0" w:line="600" w:lineRule="exact"/>
        <w:ind w:left="0" w:leftChars="0" w:right="0" w:rightChars="0" w:firstLine="640" w:firstLineChars="200"/>
        <w:jc w:val="both"/>
        <w:textAlignment w:val="baseline"/>
        <w:rPr>
          <w:rFonts w:hint="eastAsia" w:ascii="仿宋" w:hAnsi="仿宋" w:eastAsia="仿宋" w:cs="仿宋"/>
          <w:b w:val="0"/>
          <w:bCs w:val="0"/>
          <w:color w:val="000000"/>
          <w:kern w:val="0"/>
          <w:sz w:val="32"/>
          <w:szCs w:val="32"/>
          <w:u w:val="single"/>
          <w:vertAlign w:val="baseline"/>
        </w:rPr>
      </w:pPr>
      <w:r>
        <w:rPr>
          <w:rFonts w:hint="eastAsia" w:ascii="仿宋" w:hAnsi="仿宋" w:eastAsia="仿宋" w:cs="仿宋"/>
          <w:b w:val="0"/>
          <w:bCs w:val="0"/>
          <w:color w:val="000000"/>
          <w:kern w:val="0"/>
          <w:sz w:val="32"/>
          <w:szCs w:val="32"/>
          <w:vertAlign w:val="baseline"/>
          <w:lang w:val="en-US" w:eastAsia="zh-CN" w:bidi="ar"/>
        </w:rPr>
        <w:t>关于农村牧区房屋质量安全。深入推进农村牧区房屋安全隐患排查整治行动，在保持政策稳定性、延续性的基础上调整优化，做到农村牧区低收入群体住房安全应保尽保，完成457户危房改造任务。</w:t>
      </w:r>
    </w:p>
    <w:p w14:paraId="3A968433">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关于农房品质提升。加大乡村建筑风貌管控和技术指导，推进现代宜居农房建设。鼓励有条件的地区使用绿色建材和新型建造方式，开展设计下乡、乡村建设工匠培训等活动，提高农房建设品质。</w:t>
      </w:r>
    </w:p>
    <w:p w14:paraId="4D8C72C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lang w:val="en-US" w:eastAsia="zh-CN" w:bidi="ar"/>
        </w:rPr>
      </w:pPr>
      <w:r>
        <w:rPr>
          <w:rFonts w:hint="eastAsia" w:ascii="仿宋" w:hAnsi="仿宋" w:eastAsia="仿宋" w:cs="仿宋"/>
          <w:b w:val="0"/>
          <w:bCs w:val="0"/>
          <w:color w:val="000000"/>
          <w:kern w:val="0"/>
          <w:sz w:val="32"/>
          <w:szCs w:val="32"/>
          <w:vertAlign w:val="baseline"/>
          <w:lang w:val="en-US" w:eastAsia="zh-CN" w:bidi="ar"/>
        </w:rPr>
        <w:t>关于农村牧区人居环境整治。实施农村牧区生活垃圾和污水集中治理“135”行动。因地制宜选择处理技术和模式，提升垃圾和污水治理科学化、规范化水平。持续推进建制镇污水处理厂建设，计划完成五原县胜丰镇、复兴镇污水处理厂续建工程，计划新建临河区新华镇、白脑包镇污水处理厂建设项目。</w:t>
      </w:r>
    </w:p>
    <w:p w14:paraId="6018F81E">
      <w:pPr>
        <w:keepNext w:val="0"/>
        <w:keepLines w:val="0"/>
        <w:pageBreakBefore w:val="0"/>
        <w:widowControl w:val="0"/>
        <w:numPr>
          <w:ilvl w:val="0"/>
          <w:numId w:val="0"/>
        </w:numPr>
        <w:suppressLineNumbers w:val="0"/>
        <w:kinsoku/>
        <w:wordWrap/>
        <w:overflowPunct/>
        <w:topLinePunct w:val="0"/>
        <w:autoSpaceDE w:val="0"/>
        <w:autoSpaceDN/>
        <w:bidi w:val="0"/>
        <w:adjustRightInd w:val="0"/>
        <w:snapToGrid w:val="0"/>
        <w:spacing w:before="0" w:beforeAutospacing="0" w:after="0" w:afterAutospacing="0" w:line="600" w:lineRule="exact"/>
        <w:ind w:left="0" w:leftChars="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eastAsia="zh-CN" w:bidi="ar"/>
        </w:rPr>
        <w:t>（五）</w:t>
      </w:r>
      <w:r>
        <w:rPr>
          <w:rFonts w:hint="eastAsia" w:ascii="仿宋" w:hAnsi="仿宋" w:eastAsia="仿宋" w:cs="仿宋"/>
          <w:b w:val="0"/>
          <w:bCs w:val="0"/>
          <w:color w:val="000000"/>
          <w:kern w:val="0"/>
          <w:sz w:val="32"/>
          <w:szCs w:val="32"/>
          <w:vertAlign w:val="baseline"/>
          <w:lang w:val="en-US" w:eastAsia="zh-CN" w:bidi="ar"/>
        </w:rPr>
        <w:t>持续提升审批质效</w:t>
      </w:r>
    </w:p>
    <w:p w14:paraId="67C7C6CE">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关于工程建设项目审批制度改革。加强审批事项清单化管理，并向社会公开，实现同一事项无差别受理、同标准办理。推进工程建设项目全流程数字化报建，推动实现政府部门核发的材料一律免于提交。推广线上智能引导、智能客服等辅助申报方式，提高企业咨询、填报等办事便利度，同步深入推进联合审图、联合验收“一口受理”。</w:t>
      </w:r>
    </w:p>
    <w:p w14:paraId="6C117049">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（六）坚决守住安全底线</w:t>
      </w:r>
    </w:p>
    <w:p w14:paraId="7CC83CC4">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highlight w:val="yellow"/>
          <w:vertAlign w:val="baseline"/>
        </w:rPr>
      </w:pPr>
      <w:r>
        <w:rPr>
          <w:rFonts w:hint="eastAsia" w:ascii="仿宋" w:hAnsi="仿宋" w:eastAsia="仿宋" w:cs="仿宋"/>
          <w:b w:val="0"/>
          <w:bCs w:val="0"/>
          <w:color w:val="000000"/>
          <w:kern w:val="0"/>
          <w:sz w:val="32"/>
          <w:szCs w:val="32"/>
          <w:vertAlign w:val="baseline"/>
          <w:lang w:val="en-US" w:eastAsia="zh-CN" w:bidi="ar"/>
        </w:rPr>
        <w:t>关于城市生命线安全工程建设。按照《自治区城市生命线安全工程建设指南》要求，建立城市生命线安全工程工作机制，开展供热、燃气、供水、排水、桥梁等基础设施普查和风险评估，重点在供热和燃气领域搭建前端物联感知系统，提升住建领域数字化监管水平和运行效率。</w:t>
      </w:r>
    </w:p>
    <w:p w14:paraId="04638839">
      <w:pPr>
        <w:keepNext w:val="0"/>
        <w:keepLines w:val="0"/>
        <w:pageBreakBefore w:val="0"/>
        <w:widowControl w:val="0"/>
        <w:suppressLineNumbers w:val="0"/>
        <w:kinsoku/>
        <w:wordWrap/>
        <w:overflowPunct/>
        <w:topLinePunct w:val="0"/>
        <w:autoSpaceDE w:val="0"/>
        <w:autoSpaceDN/>
        <w:bidi w:val="0"/>
        <w:spacing w:before="0" w:beforeAutospacing="0" w:after="0" w:afterAutospacing="0" w:line="600" w:lineRule="exact"/>
        <w:ind w:left="0" w:leftChars="0" w:right="0" w:rightChars="0" w:firstLine="640" w:firstLineChars="200"/>
        <w:jc w:val="both"/>
        <w:rPr>
          <w:rFonts w:hint="eastAsia" w:ascii="仿宋" w:hAnsi="仿宋" w:eastAsia="仿宋" w:cs="仿宋"/>
          <w:b w:val="0"/>
          <w:bCs w:val="0"/>
          <w:color w:val="000000"/>
          <w:kern w:val="0"/>
          <w:sz w:val="32"/>
          <w:szCs w:val="32"/>
          <w:vertAlign w:val="baseline"/>
          <w:lang w:val="en-US" w:eastAsia="zh-CN" w:bidi="ar"/>
        </w:rPr>
      </w:pPr>
      <w:r>
        <w:rPr>
          <w:rFonts w:hint="eastAsia" w:ascii="仿宋" w:hAnsi="仿宋" w:eastAsia="仿宋" w:cs="仿宋"/>
          <w:b w:val="0"/>
          <w:bCs w:val="0"/>
          <w:color w:val="000000"/>
          <w:kern w:val="0"/>
          <w:sz w:val="32"/>
          <w:szCs w:val="32"/>
          <w:vertAlign w:val="baseline"/>
          <w:lang w:val="en-US" w:eastAsia="zh-CN" w:bidi="ar"/>
        </w:rPr>
        <w:t>关于推进消防未审验问题整治。</w:t>
      </w:r>
      <w:r>
        <w:rPr>
          <w:rFonts w:hint="eastAsia" w:ascii="仿宋" w:hAnsi="仿宋" w:eastAsia="仿宋" w:cs="仿宋"/>
          <w:b w:val="0"/>
          <w:bCs w:val="0"/>
          <w:color w:val="000000"/>
          <w:kern w:val="0"/>
          <w:sz w:val="32"/>
          <w:szCs w:val="32"/>
          <w:vertAlign w:val="baseline"/>
          <w:lang w:eastAsia="zh-CN" w:bidi="ar"/>
        </w:rPr>
        <w:t>一要压紧压实旗县区政府主要领导责任，切实抓好巡视反馈问题及历史遗留问题的整改工作，特别是要</w:t>
      </w:r>
      <w:r>
        <w:rPr>
          <w:rFonts w:hint="eastAsia" w:ascii="仿宋" w:hAnsi="仿宋" w:eastAsia="仿宋" w:cs="仿宋"/>
          <w:b w:val="0"/>
          <w:bCs w:val="0"/>
          <w:color w:val="000000"/>
          <w:kern w:val="0"/>
          <w:sz w:val="32"/>
          <w:szCs w:val="32"/>
          <w:vertAlign w:val="baseline"/>
          <w:lang w:val="en-US" w:eastAsia="zh-CN" w:bidi="ar"/>
        </w:rPr>
        <w:t>抓好学校、商场等人员密集场所消防未审验问题的整改工作。</w:t>
      </w:r>
      <w:r>
        <w:rPr>
          <w:rFonts w:hint="eastAsia" w:ascii="仿宋" w:hAnsi="仿宋" w:eastAsia="仿宋" w:cs="仿宋"/>
          <w:b w:val="0"/>
          <w:bCs w:val="0"/>
          <w:color w:val="000000"/>
          <w:kern w:val="0"/>
          <w:sz w:val="32"/>
          <w:szCs w:val="32"/>
          <w:vertAlign w:val="baseline"/>
          <w:lang w:eastAsia="zh-CN" w:bidi="ar"/>
        </w:rPr>
        <w:t>二要加强消防审验队伍建设，保障消防审验及问题整改工作有序开展。三要</w:t>
      </w:r>
      <w:r>
        <w:rPr>
          <w:rFonts w:hint="eastAsia" w:ascii="仿宋" w:hAnsi="仿宋" w:eastAsia="仿宋" w:cs="仿宋"/>
          <w:b w:val="0"/>
          <w:bCs w:val="0"/>
          <w:color w:val="000000"/>
          <w:kern w:val="0"/>
          <w:sz w:val="32"/>
          <w:szCs w:val="32"/>
          <w:vertAlign w:val="baseline"/>
          <w:lang w:val="en-US" w:eastAsia="zh-CN" w:bidi="ar"/>
        </w:rPr>
        <w:t>构建严管严查工作机制，杜绝未经建设工程消防设计审查验收投入使用问题再次发生。</w:t>
      </w:r>
    </w:p>
    <w:p w14:paraId="0FBD4DD5">
      <w:pPr>
        <w:keepNext w:val="0"/>
        <w:keepLines w:val="0"/>
        <w:pageBreakBefore w:val="0"/>
        <w:widowControl w:val="0"/>
        <w:suppressLineNumbers w:val="0"/>
        <w:kinsoku/>
        <w:wordWrap/>
        <w:overflowPunct/>
        <w:topLinePunct w:val="0"/>
        <w:autoSpaceDE w:val="0"/>
        <w:autoSpaceDN/>
        <w:bidi w:val="0"/>
        <w:spacing w:before="0" w:beforeAutospacing="0" w:after="0" w:afterAutospacing="0" w:line="600" w:lineRule="exact"/>
        <w:ind w:left="0" w:leftChars="0" w:right="0" w:rightChars="0" w:firstLine="640" w:firstLineChars="200"/>
        <w:jc w:val="both"/>
        <w:rPr>
          <w:rFonts w:hint="eastAsia" w:ascii="仿宋" w:hAnsi="仿宋" w:eastAsia="仿宋" w:cs="仿宋"/>
          <w:b w:val="0"/>
          <w:bCs w:val="0"/>
          <w:kern w:val="2"/>
          <w:sz w:val="32"/>
          <w:szCs w:val="32"/>
        </w:rPr>
      </w:pPr>
      <w:r>
        <w:rPr>
          <w:rFonts w:hint="eastAsia" w:ascii="仿宋" w:hAnsi="仿宋" w:eastAsia="仿宋" w:cs="仿宋"/>
          <w:b w:val="0"/>
          <w:bCs w:val="0"/>
          <w:color w:val="000000"/>
          <w:kern w:val="0"/>
          <w:sz w:val="32"/>
          <w:szCs w:val="32"/>
          <w:lang w:val="en-US" w:eastAsia="zh-CN" w:bidi="ar"/>
        </w:rPr>
        <w:t>关于推进城镇燃气安全整治。组织开展城镇燃气安全专项整治“回头看”，切实巩固集中攻坚成效。严格落实燃气经营许可管理办法等规定，规范燃气经营企业的运行管理；加强对燃气行业从业人员的培训教育，做到重点领域重点人群用气知识应知应会；健全完善联合惩戒机制，依法严惩、关闭取缔一批违法违规的企业。</w:t>
      </w:r>
      <w:r>
        <w:rPr>
          <w:rFonts w:hint="eastAsia" w:ascii="仿宋" w:hAnsi="仿宋" w:eastAsia="仿宋" w:cs="仿宋"/>
          <w:b w:val="0"/>
          <w:bCs w:val="0"/>
          <w:color w:val="000000"/>
          <w:kern w:val="0"/>
          <w:sz w:val="32"/>
          <w:szCs w:val="32"/>
          <w:lang w:eastAsia="zh-CN" w:bidi="ar"/>
        </w:rPr>
        <w:t>在临河区探索瓶装燃气经营企业统一配送信息系统试点建设，力争3月底完成建设，6月底完成气瓶赋码及登记工作。</w:t>
      </w:r>
    </w:p>
    <w:p w14:paraId="6F9E8A77">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highlight w:val="yellow"/>
          <w:vertAlign w:val="baseline"/>
        </w:rPr>
      </w:pPr>
      <w:r>
        <w:rPr>
          <w:rFonts w:hint="eastAsia" w:ascii="仿宋" w:hAnsi="仿宋" w:eastAsia="仿宋" w:cs="仿宋"/>
          <w:b w:val="0"/>
          <w:bCs w:val="0"/>
          <w:color w:val="000000"/>
          <w:kern w:val="0"/>
          <w:sz w:val="32"/>
          <w:szCs w:val="32"/>
          <w:vertAlign w:val="baseline"/>
          <w:lang w:val="en-US" w:eastAsia="zh-CN" w:bidi="ar"/>
        </w:rPr>
        <w:t>关于自建房安全整治。组织开展全市自建房安全隐患排查整治工作，对鉴定为C、D级的自建房，严格落实</w:t>
      </w:r>
      <w:r>
        <w:rPr>
          <w:rFonts w:hint="eastAsia" w:ascii="仿宋" w:hAnsi="仿宋" w:eastAsia="仿宋" w:cs="仿宋"/>
          <w:b w:val="0"/>
          <w:bCs w:val="0"/>
          <w:color w:val="000000"/>
          <w:kern w:val="0"/>
          <w:sz w:val="32"/>
          <w:szCs w:val="32"/>
          <w:vertAlign w:val="baseline"/>
          <w:lang w:eastAsia="zh-CN" w:bidi="ar"/>
        </w:rPr>
        <w:t>安全管控措施及工程措施，</w:t>
      </w:r>
      <w:r>
        <w:rPr>
          <w:rFonts w:hint="eastAsia" w:ascii="仿宋" w:hAnsi="仿宋" w:eastAsia="仿宋" w:cs="仿宋"/>
          <w:b w:val="0"/>
          <w:bCs w:val="0"/>
          <w:color w:val="000000"/>
          <w:kern w:val="0"/>
          <w:sz w:val="32"/>
          <w:szCs w:val="32"/>
          <w:vertAlign w:val="baseline"/>
          <w:lang w:val="en-US" w:eastAsia="zh-CN" w:bidi="ar"/>
        </w:rPr>
        <w:t>真正做到“人不进危房、危房不进人”，力争6月底前完成非经营性自建房安全鉴定工作。</w:t>
      </w:r>
    </w:p>
    <w:p w14:paraId="34619B8D">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lang w:val="en-US" w:eastAsia="zh-CN" w:bidi="ar"/>
        </w:rPr>
      </w:pPr>
      <w:r>
        <w:rPr>
          <w:rFonts w:hint="eastAsia" w:ascii="仿宋" w:hAnsi="仿宋" w:eastAsia="仿宋" w:cs="仿宋"/>
          <w:b w:val="0"/>
          <w:bCs w:val="0"/>
          <w:color w:val="000000"/>
          <w:kern w:val="0"/>
          <w:sz w:val="32"/>
          <w:szCs w:val="32"/>
          <w:vertAlign w:val="baseline"/>
          <w:lang w:val="en-US" w:eastAsia="zh-CN" w:bidi="ar"/>
        </w:rPr>
        <w:t>关于工程质量安全监管。开展工程质量专项检查和住宅质量多发问题专项整治，有序推进建筑工程质量评价试点工作。开展房屋市政工程等领域安全生产治本攻坚三年行动，持续排查整治房屋市政工程项目风险隐患，坚决遏制重特大事故发生。</w:t>
      </w:r>
    </w:p>
    <w:p w14:paraId="0D0DAF07">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关于信访维稳工作。深入开展住建领域信访问题大起底行动，切实把信访底数摸清楚，持续开展矛盾纠纷大排查、大起底、大化解行动，全力推动重访积案清单销号。</w:t>
      </w:r>
    </w:p>
    <w:p w14:paraId="4F3E170F">
      <w:pPr>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600" w:lineRule="exact"/>
        <w:ind w:left="0" w:leftChars="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（七）大力推进温暖工程</w:t>
      </w:r>
    </w:p>
    <w:p w14:paraId="30C99C58">
      <w:pPr>
        <w:keepNext w:val="0"/>
        <w:keepLines w:val="0"/>
        <w:pageBreakBefore w:val="0"/>
        <w:widowControl w:val="0"/>
        <w:suppressLineNumbers w:val="0"/>
        <w:kinsoku/>
        <w:wordWrap/>
        <w:overflowPunct/>
        <w:topLinePunct w:val="0"/>
        <w:autoSpaceDE w:val="0"/>
        <w:autoSpaceDN/>
        <w:bidi w:val="0"/>
        <w:spacing w:before="0" w:beforeAutospacing="0" w:after="0" w:afterAutospacing="0" w:line="600" w:lineRule="exact"/>
        <w:ind w:left="0" w:right="0" w:rightChars="0" w:firstLine="640" w:firstLineChars="200"/>
        <w:jc w:val="both"/>
        <w:rPr>
          <w:rFonts w:hint="eastAsia" w:ascii="仿宋" w:hAnsi="仿宋" w:eastAsia="仿宋" w:cs="仿宋"/>
          <w:b w:val="0"/>
          <w:bCs w:val="0"/>
          <w:color w:val="000000"/>
          <w:kern w:val="2"/>
          <w:sz w:val="32"/>
          <w:szCs w:val="32"/>
          <w:lang w:val="en-US" w:eastAsia="zh-CN" w:bidi="ar"/>
        </w:rPr>
      </w:pPr>
      <w:r>
        <w:rPr>
          <w:rFonts w:hint="eastAsia" w:ascii="仿宋" w:hAnsi="仿宋" w:eastAsia="仿宋" w:cs="仿宋"/>
          <w:b w:val="0"/>
          <w:bCs w:val="0"/>
          <w:color w:val="000000"/>
          <w:kern w:val="2"/>
          <w:sz w:val="32"/>
          <w:szCs w:val="32"/>
          <w:lang w:val="en-US" w:eastAsia="zh-CN" w:bidi="ar"/>
        </w:rPr>
        <w:t>关于开展摸底评估。聘请有资质的专业第三方机构，对城镇供热情况进行评估，研究分析当前供热管理制度体系以及设施建设运行等方面存在的问题，并制定有针对性的提升供热质量的实施方案。</w:t>
      </w:r>
      <w:r>
        <w:rPr>
          <w:rFonts w:hint="eastAsia" w:ascii="仿宋" w:hAnsi="仿宋" w:eastAsia="仿宋" w:cs="仿宋"/>
          <w:b w:val="0"/>
          <w:bCs w:val="0"/>
          <w:color w:val="000000"/>
          <w:kern w:val="2"/>
          <w:sz w:val="32"/>
          <w:szCs w:val="32"/>
          <w:lang w:eastAsia="zh-CN" w:bidi="ar"/>
        </w:rPr>
        <w:t>开展城镇集中供热全流程排查，</w:t>
      </w:r>
      <w:r>
        <w:rPr>
          <w:rFonts w:hint="eastAsia" w:ascii="仿宋" w:hAnsi="仿宋" w:eastAsia="仿宋" w:cs="仿宋"/>
          <w:b w:val="0"/>
          <w:bCs w:val="0"/>
          <w:color w:val="000000"/>
          <w:kern w:val="2"/>
          <w:sz w:val="32"/>
          <w:szCs w:val="32"/>
          <w:lang w:val="en-US" w:eastAsia="zh-CN" w:bidi="ar"/>
        </w:rPr>
        <w:t>摸清家底，查找问题，提出提升改造需求。</w:t>
      </w:r>
    </w:p>
    <w:p w14:paraId="5017DECA">
      <w:pPr>
        <w:keepNext w:val="0"/>
        <w:keepLines w:val="0"/>
        <w:pageBreakBefore w:val="0"/>
        <w:widowControl w:val="0"/>
        <w:suppressLineNumbers w:val="0"/>
        <w:kinsoku/>
        <w:wordWrap/>
        <w:overflowPunct/>
        <w:topLinePunct w:val="0"/>
        <w:autoSpaceDE w:val="0"/>
        <w:autoSpaceDN/>
        <w:bidi w:val="0"/>
        <w:spacing w:before="0" w:beforeAutospacing="0" w:after="0" w:afterAutospacing="0" w:line="600" w:lineRule="exact"/>
        <w:ind w:left="0" w:right="0" w:rightChars="0" w:firstLine="640" w:firstLineChars="200"/>
        <w:jc w:val="both"/>
        <w:rPr>
          <w:rFonts w:hint="eastAsia" w:ascii="仿宋" w:hAnsi="仿宋" w:eastAsia="仿宋" w:cs="仿宋"/>
          <w:b w:val="0"/>
          <w:bCs w:val="0"/>
          <w:kern w:val="2"/>
          <w:sz w:val="32"/>
          <w:szCs w:val="32"/>
        </w:rPr>
      </w:pPr>
      <w:r>
        <w:rPr>
          <w:rFonts w:hint="eastAsia" w:ascii="仿宋" w:hAnsi="仿宋" w:eastAsia="仿宋" w:cs="仿宋"/>
          <w:b w:val="0"/>
          <w:bCs w:val="0"/>
          <w:color w:val="000000"/>
          <w:kern w:val="0"/>
          <w:sz w:val="32"/>
          <w:szCs w:val="32"/>
          <w:lang w:val="en-US" w:eastAsia="zh-CN" w:bidi="ar"/>
        </w:rPr>
        <w:t>关于完善监督管理体系。</w:t>
      </w:r>
      <w:r>
        <w:rPr>
          <w:rFonts w:hint="eastAsia" w:ascii="仿宋" w:hAnsi="仿宋" w:eastAsia="仿宋" w:cs="仿宋"/>
          <w:b w:val="0"/>
          <w:bCs w:val="0"/>
          <w:color w:val="000000"/>
          <w:kern w:val="2"/>
          <w:sz w:val="32"/>
          <w:szCs w:val="32"/>
          <w:lang w:val="en-US" w:eastAsia="zh-CN" w:bidi="ar"/>
        </w:rPr>
        <w:t>从严规范城镇供热企业的准入、服务、收费、退出等行为；</w:t>
      </w:r>
      <w:r>
        <w:rPr>
          <w:rFonts w:hint="eastAsia" w:ascii="仿宋" w:hAnsi="仿宋" w:eastAsia="仿宋" w:cs="仿宋"/>
          <w:b w:val="0"/>
          <w:bCs w:val="0"/>
          <w:color w:val="000000"/>
          <w:kern w:val="2"/>
          <w:sz w:val="32"/>
          <w:szCs w:val="32"/>
          <w:lang w:eastAsia="zh-CN" w:bidi="ar"/>
        </w:rPr>
        <w:t>强化日常监督，将企业运行情况</w:t>
      </w:r>
      <w:r>
        <w:rPr>
          <w:rFonts w:hint="eastAsia" w:ascii="仿宋" w:hAnsi="仿宋" w:eastAsia="仿宋" w:cs="仿宋"/>
          <w:b w:val="0"/>
          <w:bCs w:val="0"/>
          <w:color w:val="000000"/>
          <w:kern w:val="2"/>
          <w:sz w:val="32"/>
          <w:szCs w:val="32"/>
          <w:lang w:val="en-US" w:eastAsia="zh-CN" w:bidi="ar"/>
        </w:rPr>
        <w:t>纳入供热期定期监控范畴，确保企业管得住、管得好</w:t>
      </w:r>
      <w:r>
        <w:rPr>
          <w:rFonts w:hint="eastAsia" w:ascii="仿宋" w:hAnsi="仿宋" w:eastAsia="仿宋" w:cs="仿宋"/>
          <w:b w:val="0"/>
          <w:bCs w:val="0"/>
          <w:color w:val="000000"/>
          <w:kern w:val="0"/>
          <w:sz w:val="32"/>
          <w:szCs w:val="32"/>
          <w:lang w:val="en-US" w:eastAsia="zh-CN" w:bidi="ar"/>
        </w:rPr>
        <w:t>，</w:t>
      </w:r>
      <w:r>
        <w:rPr>
          <w:rFonts w:hint="eastAsia" w:ascii="仿宋" w:hAnsi="仿宋" w:eastAsia="仿宋" w:cs="仿宋"/>
          <w:b w:val="0"/>
          <w:bCs w:val="0"/>
          <w:color w:val="000000"/>
          <w:kern w:val="2"/>
          <w:sz w:val="32"/>
          <w:szCs w:val="32"/>
          <w:lang w:val="en-US" w:eastAsia="zh-CN" w:bidi="ar"/>
        </w:rPr>
        <w:t>整体提升企业的供热服务质量。</w:t>
      </w:r>
    </w:p>
    <w:p w14:paraId="3B711F7B">
      <w:pPr>
        <w:pStyle w:val="8"/>
        <w:keepNext w:val="0"/>
        <w:keepLines w:val="0"/>
        <w:pageBreakBefore w:val="0"/>
        <w:widowControl w:val="0"/>
        <w:suppressLineNumbers w:val="0"/>
        <w:kinsoku/>
        <w:wordWrap/>
        <w:overflowPunct/>
        <w:topLinePunct w:val="0"/>
        <w:autoSpaceDE w:val="0"/>
        <w:autoSpaceDN/>
        <w:bidi w:val="0"/>
        <w:spacing w:before="0" w:beforeAutospacing="0" w:after="0" w:afterAutospacing="0" w:line="600" w:lineRule="exact"/>
        <w:ind w:left="0" w:right="0" w:rightChars="0" w:firstLine="640" w:firstLineChars="200"/>
        <w:jc w:val="both"/>
        <w:rPr>
          <w:rFonts w:hint="eastAsia" w:ascii="仿宋" w:hAnsi="仿宋" w:eastAsia="仿宋" w:cs="仿宋"/>
          <w:b w:val="0"/>
          <w:bCs w:val="0"/>
          <w:kern w:val="0"/>
          <w:sz w:val="32"/>
          <w:szCs w:val="32"/>
        </w:rPr>
      </w:pPr>
      <w:r>
        <w:rPr>
          <w:rFonts w:hint="eastAsia" w:ascii="仿宋" w:hAnsi="仿宋" w:eastAsia="仿宋" w:cs="仿宋"/>
          <w:b w:val="0"/>
          <w:bCs w:val="0"/>
          <w:color w:val="000000"/>
          <w:kern w:val="2"/>
          <w:sz w:val="32"/>
          <w:szCs w:val="32"/>
          <w:lang w:val="en-US" w:eastAsia="zh-CN" w:bidi="ar"/>
        </w:rPr>
        <w:t>关于彻底解决用户端问题。持续组织开展“访民问暖”活动，采取有效措施把群众反映的问题解决到位、解决好。将“冬病夏治”的末梢延伸至终端用户，引导用户对</w:t>
      </w:r>
      <w:r>
        <w:rPr>
          <w:rFonts w:hint="eastAsia" w:ascii="仿宋" w:hAnsi="仿宋" w:eastAsia="仿宋" w:cs="仿宋"/>
          <w:b w:val="0"/>
          <w:bCs w:val="0"/>
          <w:color w:val="000000"/>
          <w:kern w:val="2"/>
          <w:sz w:val="32"/>
          <w:szCs w:val="32"/>
          <w:lang w:eastAsia="zh-CN" w:bidi="ar"/>
        </w:rPr>
        <w:t>因室内问题影响取暖效果的房屋进行改造提升。</w:t>
      </w:r>
    </w:p>
    <w:p w14:paraId="37969128">
      <w:pPr>
        <w:keepNext w:val="0"/>
        <w:keepLines w:val="0"/>
        <w:pageBreakBefore w:val="0"/>
        <w:widowControl w:val="0"/>
        <w:suppressLineNumbers w:val="0"/>
        <w:kinsoku/>
        <w:wordWrap/>
        <w:overflowPunct/>
        <w:topLinePunct w:val="0"/>
        <w:autoSpaceDE w:val="0"/>
        <w:autoSpaceDN/>
        <w:bidi w:val="0"/>
        <w:spacing w:before="0" w:beforeAutospacing="0" w:after="0" w:afterAutospacing="0" w:line="600" w:lineRule="exact"/>
        <w:ind w:left="0" w:right="0" w:rightChars="0" w:firstLine="640" w:firstLineChars="200"/>
        <w:jc w:val="both"/>
        <w:rPr>
          <w:rFonts w:hint="eastAsia" w:ascii="仿宋" w:hAnsi="仿宋" w:eastAsia="仿宋" w:cs="仿宋"/>
          <w:b w:val="0"/>
          <w:bCs w:val="0"/>
          <w:color w:val="000000"/>
          <w:kern w:val="2"/>
          <w:sz w:val="32"/>
          <w:szCs w:val="32"/>
        </w:rPr>
      </w:pPr>
      <w:r>
        <w:rPr>
          <w:rFonts w:hint="eastAsia" w:ascii="仿宋" w:hAnsi="仿宋" w:eastAsia="仿宋" w:cs="仿宋"/>
          <w:b w:val="0"/>
          <w:bCs w:val="0"/>
          <w:color w:val="000000"/>
          <w:kern w:val="2"/>
          <w:sz w:val="32"/>
          <w:szCs w:val="32"/>
          <w:lang w:eastAsia="zh-CN" w:bidi="ar"/>
        </w:rPr>
        <w:t>关于</w:t>
      </w:r>
      <w:r>
        <w:rPr>
          <w:rFonts w:hint="eastAsia" w:ascii="仿宋" w:hAnsi="仿宋" w:eastAsia="仿宋" w:cs="仿宋"/>
          <w:b w:val="0"/>
          <w:bCs w:val="0"/>
          <w:color w:val="000000"/>
          <w:kern w:val="2"/>
          <w:sz w:val="32"/>
          <w:szCs w:val="32"/>
          <w:lang w:val="en-US" w:eastAsia="zh-CN" w:bidi="ar"/>
        </w:rPr>
        <w:t>强化燃煤保障能力建设。探索建立燃煤储备制度，保障燃煤供应。建议市级和旗县区两级财政出资，在每年供暖期前，按照本地区15日用量储备燃煤，用于应对突发性燃煤不足引起的供热事故，提升热源保障能力。</w:t>
      </w:r>
    </w:p>
    <w:p w14:paraId="6F02AAD7">
      <w:pPr>
        <w:keepNext w:val="0"/>
        <w:keepLines w:val="0"/>
        <w:pageBreakBefore w:val="0"/>
        <w:widowControl w:val="0"/>
        <w:suppressLineNumbers w:val="0"/>
        <w:kinsoku/>
        <w:wordWrap/>
        <w:overflowPunct/>
        <w:topLinePunct w:val="0"/>
        <w:autoSpaceDE w:val="0"/>
        <w:autoSpaceDN/>
        <w:bidi w:val="0"/>
        <w:spacing w:before="0" w:beforeAutospacing="0" w:after="0" w:afterAutospacing="0" w:line="600" w:lineRule="exact"/>
        <w:ind w:left="0" w:right="0" w:rightChars="0" w:firstLine="640" w:firstLineChars="200"/>
        <w:jc w:val="both"/>
        <w:rPr>
          <w:rFonts w:hint="eastAsia" w:ascii="仿宋" w:hAnsi="仿宋" w:eastAsia="仿宋" w:cs="仿宋"/>
          <w:b w:val="0"/>
          <w:bCs w:val="0"/>
          <w:color w:val="000000"/>
          <w:kern w:val="2"/>
          <w:sz w:val="32"/>
          <w:szCs w:val="32"/>
          <w:highlight w:val="yellow"/>
        </w:rPr>
      </w:pPr>
      <w:r>
        <w:rPr>
          <w:rFonts w:hint="eastAsia" w:ascii="仿宋" w:hAnsi="仿宋" w:eastAsia="仿宋" w:cs="仿宋"/>
          <w:b w:val="0"/>
          <w:bCs w:val="0"/>
          <w:color w:val="000000"/>
          <w:kern w:val="2"/>
          <w:sz w:val="32"/>
          <w:szCs w:val="32"/>
          <w:lang w:eastAsia="zh-CN" w:bidi="ar"/>
        </w:rPr>
        <w:t>关于</w:t>
      </w:r>
      <w:r>
        <w:rPr>
          <w:rFonts w:hint="eastAsia" w:ascii="仿宋" w:hAnsi="仿宋" w:eastAsia="仿宋" w:cs="仿宋"/>
          <w:b w:val="0"/>
          <w:bCs w:val="0"/>
          <w:color w:val="000000"/>
          <w:kern w:val="2"/>
          <w:sz w:val="32"/>
          <w:szCs w:val="32"/>
          <w:lang w:val="en-US" w:eastAsia="zh-CN" w:bidi="ar"/>
        </w:rPr>
        <w:t>健全应急处置机制。各旗县区要制定供热安全生产事故处置、极端天气应急保障、弃管弃供应急接管等预案，并做好应急抢险队伍的建设和应急设备物资的储备，加强应急演练，提高应急处置能力。</w:t>
      </w:r>
    </w:p>
    <w:p w14:paraId="16ACD2F3">
      <w:pPr>
        <w:keepNext w:val="0"/>
        <w:keepLines w:val="0"/>
        <w:pageBreakBefore w:val="0"/>
        <w:widowControl w:val="0"/>
        <w:suppressLineNumbers w:val="0"/>
        <w:kinsoku/>
        <w:wordWrap/>
        <w:overflowPunct/>
        <w:topLinePunct w:val="0"/>
        <w:autoSpaceDE w:val="0"/>
        <w:autoSpaceDN/>
        <w:bidi w:val="0"/>
        <w:spacing w:before="0" w:beforeAutospacing="0" w:after="0" w:afterAutospacing="0" w:line="600" w:lineRule="exact"/>
        <w:ind w:left="0" w:right="0" w:rightChars="0" w:firstLine="640" w:firstLineChars="200"/>
        <w:jc w:val="both"/>
        <w:rPr>
          <w:rFonts w:hint="eastAsia" w:ascii="仿宋" w:hAnsi="仿宋" w:eastAsia="仿宋" w:cs="仿宋"/>
          <w:b w:val="0"/>
          <w:bCs w:val="0"/>
          <w:color w:val="000000"/>
          <w:kern w:val="0"/>
          <w:sz w:val="32"/>
          <w:szCs w:val="32"/>
        </w:rPr>
      </w:pPr>
      <w:r>
        <w:rPr>
          <w:rFonts w:hint="eastAsia" w:ascii="仿宋" w:hAnsi="仿宋" w:eastAsia="仿宋" w:cs="仿宋"/>
          <w:b w:val="0"/>
          <w:bCs w:val="0"/>
          <w:color w:val="000000"/>
          <w:kern w:val="0"/>
          <w:sz w:val="32"/>
          <w:szCs w:val="32"/>
          <w:lang w:val="en-US" w:eastAsia="zh-CN" w:bidi="ar"/>
        </w:rPr>
        <w:t>（八）</w:t>
      </w:r>
      <w:r>
        <w:rPr>
          <w:rFonts w:hint="eastAsia" w:ascii="仿宋" w:hAnsi="仿宋" w:eastAsia="仿宋" w:cs="仿宋"/>
          <w:b w:val="0"/>
          <w:bCs w:val="0"/>
          <w:color w:val="000000"/>
          <w:kern w:val="0"/>
          <w:sz w:val="32"/>
          <w:szCs w:val="32"/>
          <w:lang w:eastAsia="zh-CN" w:bidi="ar"/>
        </w:rPr>
        <w:t>全面</w:t>
      </w:r>
      <w:r>
        <w:rPr>
          <w:rFonts w:hint="eastAsia" w:ascii="仿宋" w:hAnsi="仿宋" w:eastAsia="仿宋" w:cs="仿宋"/>
          <w:b w:val="0"/>
          <w:bCs w:val="0"/>
          <w:color w:val="000000"/>
          <w:kern w:val="0"/>
          <w:sz w:val="32"/>
          <w:szCs w:val="32"/>
          <w:lang w:val="en-US" w:eastAsia="zh-CN" w:bidi="ar"/>
        </w:rPr>
        <w:t>加强自身建设</w:t>
      </w:r>
    </w:p>
    <w:p w14:paraId="69B9892B">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加强党建和党风廉政建设。巩固拓展主题教育成果，坚定不移用习近平新时代中国特色社会主义思想统一思想、统一意志、统一行动，坚定拥护“两个确立”、</w:t>
      </w:r>
      <w:bookmarkStart w:id="5" w:name="_GoBack"/>
      <w:bookmarkEnd w:id="5"/>
      <w:r>
        <w:rPr>
          <w:rFonts w:hint="eastAsia" w:ascii="仿宋" w:hAnsi="仿宋" w:eastAsia="仿宋" w:cs="仿宋"/>
          <w:b w:val="0"/>
          <w:bCs w:val="0"/>
          <w:color w:val="000000"/>
          <w:kern w:val="0"/>
          <w:sz w:val="32"/>
          <w:szCs w:val="32"/>
          <w:vertAlign w:val="baseline"/>
          <w:lang w:val="en-US" w:eastAsia="zh-CN" w:bidi="ar"/>
        </w:rPr>
        <w:t>坚决做到“两个维护”。铸牢中华民族共同体意识，抓好“五大行动”任务落实</w:t>
      </w:r>
      <w:r>
        <w:rPr>
          <w:rFonts w:hint="eastAsia" w:ascii="仿宋" w:hAnsi="仿宋" w:eastAsia="仿宋" w:cs="仿宋"/>
          <w:b w:val="0"/>
          <w:bCs w:val="0"/>
          <w:color w:val="000000"/>
          <w:kern w:val="0"/>
          <w:sz w:val="32"/>
          <w:szCs w:val="32"/>
          <w:vertAlign w:val="baseline"/>
          <w:lang w:eastAsia="zh-CN" w:bidi="ar"/>
        </w:rPr>
        <w:t>，</w:t>
      </w:r>
      <w:r>
        <w:rPr>
          <w:rFonts w:hint="eastAsia" w:ascii="仿宋" w:hAnsi="仿宋" w:eastAsia="仿宋" w:cs="仿宋"/>
          <w:b w:val="0"/>
          <w:bCs w:val="0"/>
          <w:color w:val="000000"/>
          <w:kern w:val="0"/>
          <w:sz w:val="32"/>
          <w:szCs w:val="32"/>
          <w:vertAlign w:val="baseline"/>
          <w:lang w:val="en-US" w:eastAsia="zh-CN" w:bidi="ar"/>
        </w:rPr>
        <w:t>确保执行上级决策不偏向、不变通、不走样。落实党风廉政建设和意识形态工作责任制，锲而不舍落实中央八项规定及其实施细则精神，聚焦破解“慢、粗、虚”和“三多、三少、三慢”等顽疾，持续推动工作“规范、精简、提速”。坚决防范和纠治“新形象工程”，着力克服形式主义官僚主义。</w:t>
      </w:r>
    </w:p>
    <w:p w14:paraId="43E9A5C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加强干部队伍建设。树立选人用人正确导向，持续优化干部队伍结构，提升干部能力素质。加强行业高层次人才、青年优秀人才和高技能人才发现培养，为住建行业高质量发展提供有力人才支撑。</w:t>
      </w:r>
    </w:p>
    <w:p w14:paraId="7D353D8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加强法治建设。深入推进重点领域立法，参照自治区出台的《内蒙古自治区城镇绿化条例》</w:t>
      </w:r>
      <w:r>
        <w:rPr>
          <w:rFonts w:hint="eastAsia" w:ascii="仿宋" w:hAnsi="仿宋" w:eastAsia="仿宋" w:cs="仿宋"/>
          <w:b w:val="0"/>
          <w:bCs w:val="0"/>
          <w:color w:val="000000"/>
          <w:kern w:val="0"/>
          <w:sz w:val="32"/>
          <w:szCs w:val="32"/>
          <w:vertAlign w:val="baseline"/>
          <w:lang w:eastAsia="zh-CN" w:bidi="ar"/>
        </w:rPr>
        <w:t>等文件，</w:t>
      </w:r>
      <w:r>
        <w:rPr>
          <w:rFonts w:hint="eastAsia" w:ascii="仿宋" w:hAnsi="仿宋" w:eastAsia="仿宋" w:cs="仿宋"/>
          <w:b w:val="0"/>
          <w:bCs w:val="0"/>
          <w:color w:val="000000"/>
          <w:kern w:val="0"/>
          <w:sz w:val="32"/>
          <w:szCs w:val="32"/>
          <w:vertAlign w:val="baseline"/>
          <w:lang w:val="en-US" w:eastAsia="zh-CN" w:bidi="ar"/>
        </w:rPr>
        <w:t>立足</w:t>
      </w:r>
      <w:r>
        <w:rPr>
          <w:rFonts w:hint="eastAsia" w:ascii="仿宋" w:hAnsi="仿宋" w:eastAsia="仿宋" w:cs="仿宋"/>
          <w:b w:val="0"/>
          <w:bCs w:val="0"/>
          <w:color w:val="000000"/>
          <w:kern w:val="0"/>
          <w:sz w:val="32"/>
          <w:szCs w:val="32"/>
          <w:vertAlign w:val="baseline"/>
          <w:lang w:eastAsia="zh-CN" w:bidi="ar"/>
        </w:rPr>
        <w:t>我</w:t>
      </w:r>
      <w:r>
        <w:rPr>
          <w:rFonts w:hint="eastAsia" w:ascii="仿宋" w:hAnsi="仿宋" w:eastAsia="仿宋" w:cs="仿宋"/>
          <w:b w:val="0"/>
          <w:bCs w:val="0"/>
          <w:color w:val="000000"/>
          <w:kern w:val="0"/>
          <w:sz w:val="32"/>
          <w:szCs w:val="32"/>
          <w:vertAlign w:val="baseline"/>
          <w:lang w:val="en-US" w:eastAsia="zh-CN" w:bidi="ar"/>
        </w:rPr>
        <w:t>市实际推动出台相应条例。严格落实重大行政决策程序制度，完善合法性审核和备案审查制度。全面推进严格规范公正文明执法</w:t>
      </w:r>
      <w:r>
        <w:rPr>
          <w:rFonts w:hint="eastAsia" w:ascii="仿宋" w:hAnsi="仿宋" w:eastAsia="仿宋" w:cs="仿宋"/>
          <w:b w:val="0"/>
          <w:bCs w:val="0"/>
          <w:color w:val="000000"/>
          <w:kern w:val="0"/>
          <w:sz w:val="32"/>
          <w:szCs w:val="32"/>
          <w:vertAlign w:val="baseline"/>
          <w:lang w:eastAsia="zh-CN" w:bidi="ar"/>
        </w:rPr>
        <w:t>，</w:t>
      </w:r>
      <w:r>
        <w:rPr>
          <w:rFonts w:hint="eastAsia" w:ascii="仿宋" w:hAnsi="仿宋" w:eastAsia="仿宋" w:cs="仿宋"/>
          <w:b w:val="0"/>
          <w:bCs w:val="0"/>
          <w:color w:val="000000"/>
          <w:kern w:val="0"/>
          <w:sz w:val="32"/>
          <w:szCs w:val="32"/>
          <w:vertAlign w:val="baseline"/>
          <w:lang w:val="en-US" w:eastAsia="zh-CN" w:bidi="ar"/>
        </w:rPr>
        <w:t>加强政务公开和政府信息公开</w:t>
      </w:r>
      <w:r>
        <w:rPr>
          <w:rFonts w:hint="eastAsia" w:ascii="仿宋" w:hAnsi="仿宋" w:eastAsia="仿宋" w:cs="仿宋"/>
          <w:b w:val="0"/>
          <w:bCs w:val="0"/>
          <w:color w:val="000000"/>
          <w:kern w:val="0"/>
          <w:sz w:val="32"/>
          <w:szCs w:val="32"/>
          <w:vertAlign w:val="baseline"/>
          <w:lang w:eastAsia="zh-CN" w:bidi="ar"/>
        </w:rPr>
        <w:t>，</w:t>
      </w:r>
      <w:r>
        <w:rPr>
          <w:rFonts w:hint="eastAsia" w:ascii="仿宋" w:hAnsi="仿宋" w:eastAsia="仿宋" w:cs="仿宋"/>
          <w:b w:val="0"/>
          <w:bCs w:val="0"/>
          <w:color w:val="000000"/>
          <w:kern w:val="0"/>
          <w:sz w:val="32"/>
          <w:szCs w:val="32"/>
          <w:vertAlign w:val="baseline"/>
          <w:lang w:val="en-US" w:eastAsia="zh-CN" w:bidi="ar"/>
        </w:rPr>
        <w:t>高质量做好人大代表建议和政协提案办理工作。</w:t>
      </w:r>
    </w:p>
    <w:p w14:paraId="5A52317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600" w:lineRule="exact"/>
        <w:ind w:left="0" w:right="0" w:rightChars="0" w:firstLine="640" w:firstLineChars="200"/>
        <w:jc w:val="both"/>
        <w:textAlignment w:val="baseline"/>
        <w:rPr>
          <w:rFonts w:hint="eastAsia" w:ascii="仿宋" w:hAnsi="仿宋" w:eastAsia="仿宋" w:cs="仿宋"/>
          <w:b w:val="0"/>
          <w:bCs w:val="0"/>
          <w:color w:val="000000"/>
          <w:kern w:val="0"/>
          <w:sz w:val="32"/>
          <w:szCs w:val="32"/>
          <w:vertAlign w:val="baseline"/>
        </w:rPr>
      </w:pPr>
      <w:r>
        <w:rPr>
          <w:rFonts w:hint="eastAsia" w:ascii="仿宋" w:hAnsi="仿宋" w:eastAsia="仿宋" w:cs="仿宋"/>
          <w:b w:val="0"/>
          <w:bCs w:val="0"/>
          <w:color w:val="000000"/>
          <w:kern w:val="0"/>
          <w:sz w:val="32"/>
          <w:szCs w:val="32"/>
          <w:vertAlign w:val="baseline"/>
          <w:lang w:val="en-US" w:eastAsia="zh-CN" w:bidi="ar"/>
        </w:rPr>
        <w:t>加强统计调查。开展住建家底大普查行动，全面摸清全市商品房基本情况</w:t>
      </w:r>
      <w:r>
        <w:rPr>
          <w:rFonts w:hint="eastAsia" w:ascii="仿宋" w:hAnsi="仿宋" w:eastAsia="仿宋" w:cs="仿宋"/>
          <w:b w:val="0"/>
          <w:bCs w:val="0"/>
          <w:color w:val="000000"/>
          <w:kern w:val="0"/>
          <w:sz w:val="32"/>
          <w:szCs w:val="32"/>
          <w:vertAlign w:val="baseline"/>
          <w:lang w:eastAsia="zh-CN" w:bidi="ar"/>
        </w:rPr>
        <w:t>，</w:t>
      </w:r>
      <w:r>
        <w:rPr>
          <w:rFonts w:hint="eastAsia" w:ascii="仿宋" w:hAnsi="仿宋" w:eastAsia="仿宋" w:cs="仿宋"/>
          <w:b w:val="0"/>
          <w:bCs w:val="0"/>
          <w:color w:val="000000"/>
          <w:kern w:val="0"/>
          <w:sz w:val="32"/>
          <w:szCs w:val="32"/>
          <w:vertAlign w:val="baseline"/>
          <w:lang w:val="en-US" w:eastAsia="zh-CN" w:bidi="ar"/>
        </w:rPr>
        <w:t>全面摸清地下管网老旧改造底数，全面摸清各类建筑企业数量。</w:t>
      </w:r>
    </w:p>
    <w:p w14:paraId="4BA51F70">
      <w:pPr>
        <w:pStyle w:val="2"/>
        <w:ind w:left="0" w:leftChars="0" w:firstLine="0" w:firstLineChars="0"/>
        <w:rPr>
          <w:rFonts w:hint="default"/>
          <w:highlight w:val="none"/>
        </w:rPr>
      </w:pPr>
    </w:p>
    <w:p w14:paraId="4004F320">
      <w:pPr>
        <w:pStyle w:val="5"/>
        <w:tabs>
          <w:tab w:val="left" w:pos="4392"/>
        </w:tabs>
        <w:adjustRightInd/>
        <w:snapToGrid/>
        <w:spacing w:before="0" w:after="0" w:line="360" w:lineRule="auto"/>
        <w:ind w:firstLine="0" w:firstLineChars="0"/>
        <w:jc w:val="center"/>
        <w:rPr>
          <w:rFonts w:ascii="方正小标宋简体" w:hAnsi="方正小标宋简体" w:eastAsia="方正小标宋简体" w:cs="方正小标宋简体"/>
          <w:b w:val="0"/>
          <w:bCs w:val="0"/>
          <w:sz w:val="36"/>
          <w:szCs w:val="36"/>
          <w:highlight w:val="none"/>
        </w:rPr>
      </w:pPr>
      <w:bookmarkStart w:id="0" w:name="_Toc990"/>
      <w:r>
        <w:rPr>
          <w:rFonts w:hint="eastAsia" w:ascii="黑体" w:hAnsi="黑体" w:eastAsia="黑体" w:cs="黑体"/>
          <w:b w:val="0"/>
          <w:bCs w:val="0"/>
          <w:sz w:val="36"/>
          <w:szCs w:val="36"/>
          <w:highlight w:val="none"/>
        </w:rPr>
        <w:t>第二部分</w:t>
      </w:r>
      <w:r>
        <w:rPr>
          <w:rFonts w:hint="eastAsia" w:ascii="黑体" w:hAnsi="黑体" w:eastAsia="黑体" w:cs="黑体"/>
          <w:b w:val="0"/>
          <w:bCs w:val="0"/>
          <w:sz w:val="36"/>
          <w:szCs w:val="36"/>
          <w:highlight w:val="none"/>
          <w:lang w:val="en-US" w:eastAsia="zh-CN"/>
        </w:rPr>
        <w:t xml:space="preserve">  2025</w:t>
      </w:r>
      <w:r>
        <w:rPr>
          <w:rFonts w:hint="eastAsia" w:ascii="黑体" w:hAnsi="黑体" w:eastAsia="黑体" w:cs="黑体"/>
          <w:b w:val="0"/>
          <w:bCs w:val="0"/>
          <w:sz w:val="36"/>
          <w:szCs w:val="36"/>
          <w:highlight w:val="none"/>
        </w:rPr>
        <w:t>年度单位决算情况说明</w:t>
      </w:r>
      <w:bookmarkEnd w:id="0"/>
    </w:p>
    <w:p w14:paraId="75FD2E4D">
      <w:pPr>
        <w:spacing w:line="600" w:lineRule="exact"/>
        <w:ind w:left="0" w:leftChars="0" w:firstLine="643" w:firstLineChars="200"/>
        <w:outlineLvl w:val="2"/>
        <w:rPr>
          <w:rFonts w:eastAsia="黑体" w:cs="黑体"/>
          <w:b/>
          <w:bCs/>
          <w:sz w:val="32"/>
          <w:szCs w:val="32"/>
          <w:highlight w:val="none"/>
        </w:rPr>
      </w:pPr>
      <w:r>
        <w:rPr>
          <w:rFonts w:hint="eastAsia" w:eastAsia="黑体" w:cs="黑体"/>
          <w:b/>
          <w:bCs/>
          <w:sz w:val="32"/>
          <w:szCs w:val="32"/>
          <w:highlight w:val="none"/>
        </w:rPr>
        <w:t>一、收入支出决算总体情况说明</w:t>
      </w:r>
    </w:p>
    <w:p w14:paraId="2741FEAD">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sz w:val="32"/>
          <w:szCs w:val="32"/>
          <w:highlight w:val="none"/>
          <w:lang w:val="en-US" w:eastAsia="zh-CN"/>
        </w:rPr>
        <w:t>2025</w:t>
      </w:r>
      <w:r>
        <w:rPr>
          <w:rFonts w:hint="eastAsia" w:ascii="仿宋" w:hAnsi="仿宋" w:eastAsia="仿宋" w:cs="仿宋"/>
          <w:sz w:val="32"/>
          <w:szCs w:val="32"/>
          <w:highlight w:val="none"/>
        </w:rPr>
        <w:t>年度收入、支出决算总计</w:t>
      </w:r>
      <w:r>
        <w:rPr>
          <w:rFonts w:hint="eastAsia" w:ascii="仿宋" w:hAnsi="仿宋" w:eastAsia="仿宋" w:cs="仿宋"/>
          <w:sz w:val="32"/>
          <w:szCs w:val="32"/>
          <w:highlight w:val="none"/>
          <w:u w:val="single"/>
          <w:lang w:val="en-US" w:eastAsia="zh-CN"/>
        </w:rPr>
        <w:t>2153.52</w:t>
      </w:r>
      <w:r>
        <w:rPr>
          <w:rFonts w:hint="eastAsia" w:ascii="仿宋" w:hAnsi="仿宋" w:eastAsia="仿宋" w:cs="仿宋"/>
          <w:sz w:val="32"/>
          <w:szCs w:val="32"/>
          <w:highlight w:val="none"/>
        </w:rPr>
        <w:t>万元。与年初预算相比，收、支总计各增加</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1262.44</w:t>
      </w:r>
      <w:r>
        <w:rPr>
          <w:rFonts w:hint="eastAsia" w:ascii="仿宋" w:hAnsi="仿宋" w:eastAsia="仿宋" w:cs="仿宋"/>
          <w:sz w:val="32"/>
          <w:szCs w:val="32"/>
          <w:highlight w:val="none"/>
        </w:rPr>
        <w:t>万元，增长</w:t>
      </w:r>
      <w:r>
        <w:rPr>
          <w:rFonts w:hint="eastAsia" w:ascii="仿宋" w:hAnsi="仿宋" w:eastAsia="仿宋" w:cs="仿宋"/>
          <w:sz w:val="32"/>
          <w:szCs w:val="32"/>
          <w:highlight w:val="none"/>
          <w:u w:val="single"/>
          <w:lang w:val="en-US" w:eastAsia="zh-CN"/>
        </w:rPr>
        <w:t>141.68</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，变动原因：</w:t>
      </w:r>
      <w:r>
        <w:rPr>
          <w:rFonts w:hint="eastAsia" w:ascii="仿宋" w:hAnsi="仿宋" w:eastAsia="仿宋" w:cs="仿宋"/>
          <w:sz w:val="32"/>
          <w:szCs w:val="32"/>
          <w:highlight w:val="none"/>
          <w:lang w:val="en-US" w:eastAsia="zh-CN"/>
        </w:rPr>
        <w:t>一是两名退休人员去世，死亡抚恤增加21.88万元，二是我局进行了债务化解，财政拨入项目资金和政府性基金用于化解债务</w:t>
      </w:r>
      <w:r>
        <w:rPr>
          <w:rFonts w:hint="eastAsia" w:ascii="仿宋" w:hAnsi="仿宋" w:eastAsia="仿宋" w:cs="仿宋"/>
          <w:sz w:val="32"/>
          <w:szCs w:val="32"/>
          <w:highlight w:val="none"/>
        </w:rPr>
        <w:t>；与上年决算相比，收、支总计各减少</w:t>
      </w:r>
      <w:r>
        <w:rPr>
          <w:rFonts w:hint="eastAsia" w:ascii="仿宋" w:hAnsi="仿宋" w:eastAsia="仿宋" w:cs="仿宋"/>
          <w:sz w:val="32"/>
          <w:szCs w:val="32"/>
          <w:highlight w:val="none"/>
          <w:u w:val="single"/>
          <w:lang w:val="en-US" w:eastAsia="zh-CN"/>
        </w:rPr>
        <w:t>428.17</w:t>
      </w:r>
      <w:r>
        <w:rPr>
          <w:rFonts w:hint="eastAsia" w:ascii="仿宋" w:hAnsi="仿宋" w:eastAsia="仿宋" w:cs="仿宋"/>
          <w:sz w:val="32"/>
          <w:szCs w:val="32"/>
          <w:highlight w:val="none"/>
        </w:rPr>
        <w:t>万元，</w:t>
      </w:r>
      <w:r>
        <w:rPr>
          <w:rFonts w:hint="eastAsia" w:ascii="仿宋" w:hAnsi="仿宋" w:eastAsia="仿宋" w:cs="仿宋"/>
          <w:sz w:val="32"/>
          <w:szCs w:val="32"/>
          <w:highlight w:val="none"/>
          <w:lang w:val="en-US" w:eastAsia="zh-CN"/>
        </w:rPr>
        <w:t>下降</w:t>
      </w:r>
      <w:r>
        <w:rPr>
          <w:rFonts w:hint="eastAsia" w:ascii="仿宋" w:hAnsi="仿宋" w:eastAsia="仿宋" w:cs="仿宋"/>
          <w:sz w:val="32"/>
          <w:szCs w:val="32"/>
          <w:highlight w:val="none"/>
          <w:u w:val="single"/>
          <w:lang w:val="en-US" w:eastAsia="zh-CN"/>
        </w:rPr>
        <w:t>16.58%</w:t>
      </w:r>
      <w:r>
        <w:rPr>
          <w:rFonts w:hint="eastAsia" w:ascii="仿宋" w:hAnsi="仿宋" w:eastAsia="仿宋" w:cs="仿宋"/>
          <w:sz w:val="32"/>
          <w:szCs w:val="32"/>
          <w:highlight w:val="none"/>
        </w:rPr>
        <w:t>。其中：</w:t>
      </w:r>
    </w:p>
    <w:p w14:paraId="647045AC">
      <w:pPr>
        <w:pStyle w:val="6"/>
        <w:tabs>
          <w:tab w:val="left" w:pos="4275"/>
        </w:tabs>
        <w:spacing w:after="0" w:line="560" w:lineRule="exact"/>
        <w:ind w:firstLine="643" w:firstLineChars="20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（一）收入决算总计</w:t>
      </w:r>
      <w:r>
        <w:rPr>
          <w:rFonts w:hint="eastAsia" w:ascii="黑体" w:hAnsi="黑体" w:eastAsia="黑体" w:cs="黑体"/>
          <w:sz w:val="32"/>
          <w:szCs w:val="32"/>
          <w:highlight w:val="none"/>
          <w:u w:val="single"/>
          <w:lang w:val="en-US" w:eastAsia="zh-CN"/>
        </w:rPr>
        <w:t>2153.52</w:t>
      </w:r>
      <w:r>
        <w:rPr>
          <w:rFonts w:hint="eastAsia" w:ascii="黑体" w:hAnsi="黑体" w:eastAsia="黑体" w:cs="黑体"/>
          <w:b/>
          <w:bCs/>
          <w:sz w:val="32"/>
          <w:szCs w:val="32"/>
          <w:highlight w:val="none"/>
        </w:rPr>
        <w:t>万元。包括：</w:t>
      </w:r>
    </w:p>
    <w:p w14:paraId="37EACB0C">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1.本年收入决算合计</w:t>
      </w:r>
      <w:r>
        <w:rPr>
          <w:rFonts w:hint="eastAsia" w:ascii="仿宋" w:hAnsi="仿宋" w:eastAsia="仿宋" w:cs="仿宋"/>
          <w:sz w:val="32"/>
          <w:szCs w:val="32"/>
          <w:highlight w:val="none"/>
          <w:u w:val="single"/>
          <w:lang w:val="en-US" w:eastAsia="zh-CN"/>
        </w:rPr>
        <w:t>983.45</w:t>
      </w:r>
      <w:r>
        <w:rPr>
          <w:rFonts w:hint="eastAsia" w:ascii="仿宋" w:hAnsi="仿宋" w:eastAsia="仿宋" w:cs="仿宋"/>
          <w:sz w:val="32"/>
          <w:szCs w:val="32"/>
          <w:highlight w:val="none"/>
        </w:rPr>
        <w:t>万元。与上年决算相比，减少</w:t>
      </w:r>
      <w:r>
        <w:rPr>
          <w:rFonts w:hint="eastAsia" w:ascii="仿宋" w:hAnsi="仿宋" w:eastAsia="仿宋" w:cs="仿宋"/>
          <w:sz w:val="32"/>
          <w:szCs w:val="32"/>
          <w:highlight w:val="none"/>
          <w:u w:val="single"/>
          <w:lang w:val="en-US" w:eastAsia="zh-CN"/>
        </w:rPr>
        <w:t>428.17</w:t>
      </w:r>
      <w:r>
        <w:rPr>
          <w:rFonts w:hint="eastAsia" w:ascii="仿宋" w:hAnsi="仿宋" w:eastAsia="仿宋" w:cs="仿宋"/>
          <w:sz w:val="32"/>
          <w:szCs w:val="32"/>
          <w:highlight w:val="none"/>
        </w:rPr>
        <w:t>万元，减少</w:t>
      </w:r>
      <w:r>
        <w:rPr>
          <w:rFonts w:hint="eastAsia" w:ascii="仿宋" w:hAnsi="仿宋" w:eastAsia="仿宋" w:cs="仿宋"/>
          <w:sz w:val="32"/>
          <w:szCs w:val="32"/>
          <w:highlight w:val="none"/>
          <w:u w:val="single"/>
          <w:lang w:val="en-US" w:eastAsia="zh-CN"/>
        </w:rPr>
        <w:t>30.33</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，变动原因</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化债任务比上年减少，财政拨入的化债资金减少</w:t>
      </w:r>
      <w:r>
        <w:rPr>
          <w:rFonts w:hint="eastAsia" w:ascii="仿宋" w:hAnsi="仿宋" w:eastAsia="仿宋" w:cs="仿宋"/>
          <w:sz w:val="32"/>
          <w:szCs w:val="32"/>
          <w:highlight w:val="none"/>
        </w:rPr>
        <w:t>。</w:t>
      </w:r>
    </w:p>
    <w:p w14:paraId="231D2D52">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2.使用非财政拨款结余</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rPr>
        <w:t>万元。与上年决算相比，增加（减少）</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rPr>
        <w:t>万元，增长（减少）</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，变动原因：</w:t>
      </w:r>
      <w:r>
        <w:rPr>
          <w:rFonts w:hint="eastAsia" w:ascii="仿宋" w:hAnsi="仿宋" w:eastAsia="仿宋" w:cs="仿宋"/>
          <w:sz w:val="32"/>
          <w:szCs w:val="32"/>
          <w:highlight w:val="none"/>
          <w:lang w:val="en-US" w:eastAsia="zh-CN"/>
        </w:rPr>
        <w:t>不涉及</w:t>
      </w:r>
      <w:r>
        <w:rPr>
          <w:rFonts w:hint="eastAsia" w:ascii="仿宋" w:hAnsi="仿宋" w:eastAsia="仿宋" w:cs="仿宋"/>
          <w:sz w:val="32"/>
          <w:szCs w:val="32"/>
          <w:highlight w:val="none"/>
        </w:rPr>
        <w:t>。</w:t>
      </w:r>
    </w:p>
    <w:p w14:paraId="2E24ED0D">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3.年初结转和结余</w:t>
      </w:r>
      <w:r>
        <w:rPr>
          <w:rFonts w:hint="eastAsia" w:ascii="仿宋" w:hAnsi="仿宋" w:eastAsia="仿宋" w:cs="仿宋"/>
          <w:sz w:val="32"/>
          <w:szCs w:val="32"/>
          <w:highlight w:val="none"/>
          <w:u w:val="single"/>
          <w:lang w:val="en-US" w:eastAsia="zh-CN"/>
        </w:rPr>
        <w:t>1170.07</w:t>
      </w:r>
      <w:r>
        <w:rPr>
          <w:rFonts w:hint="eastAsia" w:ascii="仿宋" w:hAnsi="仿宋" w:eastAsia="仿宋" w:cs="仿宋"/>
          <w:sz w:val="32"/>
          <w:szCs w:val="32"/>
          <w:highlight w:val="none"/>
        </w:rPr>
        <w:t>万元。与上年决算相比，增加（减少）</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rPr>
        <w:t>万元，增长（减少）</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，变动原因：</w:t>
      </w:r>
      <w:r>
        <w:rPr>
          <w:rFonts w:hint="eastAsia" w:ascii="仿宋" w:hAnsi="仿宋" w:eastAsia="仿宋" w:cs="仿宋"/>
          <w:sz w:val="32"/>
          <w:szCs w:val="32"/>
          <w:highlight w:val="none"/>
          <w:lang w:val="en-US" w:eastAsia="zh-CN"/>
        </w:rPr>
        <w:t>无变动</w:t>
      </w:r>
      <w:r>
        <w:rPr>
          <w:rFonts w:hint="eastAsia" w:ascii="仿宋" w:hAnsi="仿宋" w:eastAsia="仿宋" w:cs="仿宋"/>
          <w:sz w:val="32"/>
          <w:szCs w:val="32"/>
          <w:highlight w:val="none"/>
        </w:rPr>
        <w:t>。</w:t>
      </w:r>
    </w:p>
    <w:p w14:paraId="251F0055">
      <w:pPr>
        <w:pStyle w:val="6"/>
        <w:tabs>
          <w:tab w:val="left" w:pos="4275"/>
        </w:tabs>
        <w:spacing w:after="0" w:line="560" w:lineRule="exact"/>
        <w:ind w:firstLine="643" w:firstLineChars="20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（二）支出决算总计</w:t>
      </w:r>
      <w:r>
        <w:rPr>
          <w:rFonts w:hint="eastAsia" w:ascii="黑体" w:hAnsi="黑体" w:eastAsia="黑体" w:cs="黑体"/>
          <w:sz w:val="32"/>
          <w:szCs w:val="32"/>
          <w:highlight w:val="none"/>
          <w:u w:val="single"/>
          <w:lang w:val="en-US" w:eastAsia="zh-CN"/>
        </w:rPr>
        <w:t>2153.52</w:t>
      </w:r>
      <w:r>
        <w:rPr>
          <w:rFonts w:hint="eastAsia" w:ascii="黑体" w:hAnsi="黑体" w:eastAsia="黑体" w:cs="黑体"/>
          <w:b/>
          <w:bCs/>
          <w:sz w:val="32"/>
          <w:szCs w:val="32"/>
          <w:highlight w:val="none"/>
        </w:rPr>
        <w:t>万元。包括：</w:t>
      </w:r>
    </w:p>
    <w:p w14:paraId="74F70A2E">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1.本年支出决算合计</w:t>
      </w:r>
      <w:r>
        <w:rPr>
          <w:rFonts w:hint="eastAsia" w:ascii="仿宋" w:hAnsi="仿宋" w:eastAsia="仿宋" w:cs="仿宋"/>
          <w:sz w:val="32"/>
          <w:szCs w:val="32"/>
          <w:highlight w:val="none"/>
          <w:u w:val="single"/>
          <w:lang w:val="en-US" w:eastAsia="zh-CN"/>
        </w:rPr>
        <w:t>1606.39</w:t>
      </w:r>
      <w:r>
        <w:rPr>
          <w:rFonts w:hint="eastAsia" w:ascii="仿宋" w:hAnsi="仿宋" w:eastAsia="仿宋" w:cs="仿宋"/>
          <w:sz w:val="32"/>
          <w:szCs w:val="32"/>
          <w:highlight w:val="none"/>
        </w:rPr>
        <w:t>万元。与上年决算相比，增加</w:t>
      </w:r>
      <w:r>
        <w:rPr>
          <w:rFonts w:hint="eastAsia" w:ascii="仿宋" w:hAnsi="仿宋" w:eastAsia="仿宋" w:cs="仿宋"/>
          <w:sz w:val="32"/>
          <w:szCs w:val="32"/>
          <w:highlight w:val="none"/>
          <w:u w:val="single"/>
          <w:lang w:val="en-US" w:eastAsia="zh-CN"/>
        </w:rPr>
        <w:t>194.77</w:t>
      </w:r>
      <w:r>
        <w:rPr>
          <w:rFonts w:hint="eastAsia" w:ascii="仿宋" w:hAnsi="仿宋" w:eastAsia="仿宋" w:cs="仿宋"/>
          <w:sz w:val="32"/>
          <w:szCs w:val="32"/>
          <w:highlight w:val="none"/>
        </w:rPr>
        <w:t>万元，增长</w:t>
      </w:r>
      <w:r>
        <w:rPr>
          <w:rFonts w:hint="eastAsia" w:ascii="仿宋" w:hAnsi="仿宋" w:eastAsia="仿宋" w:cs="仿宋"/>
          <w:sz w:val="32"/>
          <w:szCs w:val="32"/>
          <w:highlight w:val="none"/>
          <w:u w:val="single"/>
          <w:lang w:val="en-US" w:eastAsia="zh-CN"/>
        </w:rPr>
        <w:t>13.80</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，变动原因：</w:t>
      </w:r>
      <w:r>
        <w:rPr>
          <w:rFonts w:hint="eastAsia" w:ascii="仿宋" w:hAnsi="仿宋" w:eastAsia="仿宋" w:cs="仿宋"/>
          <w:sz w:val="32"/>
          <w:szCs w:val="32"/>
          <w:highlight w:val="none"/>
          <w:lang w:val="en-US" w:eastAsia="zh-CN"/>
        </w:rPr>
        <w:t>以前年度结转结余用于项目支出</w:t>
      </w:r>
      <w:r>
        <w:rPr>
          <w:rFonts w:hint="eastAsia" w:ascii="仿宋" w:hAnsi="仿宋" w:eastAsia="仿宋" w:cs="仿宋"/>
          <w:sz w:val="32"/>
          <w:szCs w:val="32"/>
          <w:highlight w:val="none"/>
        </w:rPr>
        <w:t>。</w:t>
      </w:r>
    </w:p>
    <w:p w14:paraId="7564F5B6">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2．结余分配</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rPr>
        <w:t>万元。结余分配事项：</w:t>
      </w:r>
      <w:r>
        <w:rPr>
          <w:rFonts w:hint="eastAsia" w:ascii="仿宋" w:hAnsi="仿宋" w:eastAsia="仿宋" w:cs="仿宋"/>
          <w:sz w:val="32"/>
          <w:szCs w:val="32"/>
          <w:highlight w:val="none"/>
          <w:lang w:val="en-US" w:eastAsia="zh-CN"/>
        </w:rPr>
        <w:t>不涉及</w:t>
      </w:r>
      <w:r>
        <w:rPr>
          <w:rFonts w:hint="eastAsia" w:ascii="仿宋" w:hAnsi="仿宋" w:eastAsia="仿宋" w:cs="仿宋"/>
          <w:sz w:val="32"/>
          <w:szCs w:val="32"/>
          <w:highlight w:val="none"/>
        </w:rPr>
        <w:t>。与上年决算相比，增加（减少）</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rPr>
        <w:t>万元，增长（减少）</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，变动原因：</w:t>
      </w:r>
      <w:r>
        <w:rPr>
          <w:rFonts w:hint="eastAsia" w:ascii="仿宋" w:hAnsi="仿宋" w:eastAsia="仿宋" w:cs="仿宋"/>
          <w:sz w:val="32"/>
          <w:szCs w:val="32"/>
          <w:highlight w:val="none"/>
          <w:lang w:val="en-US" w:eastAsia="zh-CN"/>
        </w:rPr>
        <w:t>不涉及</w:t>
      </w:r>
      <w:r>
        <w:rPr>
          <w:rFonts w:hint="eastAsia" w:ascii="仿宋" w:hAnsi="仿宋" w:eastAsia="仿宋" w:cs="仿宋"/>
          <w:sz w:val="32"/>
          <w:szCs w:val="32"/>
          <w:highlight w:val="none"/>
        </w:rPr>
        <w:t>。</w:t>
      </w:r>
    </w:p>
    <w:p w14:paraId="6F761EAE">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3.年末结转和结余</w:t>
      </w:r>
      <w:r>
        <w:rPr>
          <w:rFonts w:hint="eastAsia" w:ascii="仿宋" w:hAnsi="仿宋" w:eastAsia="仿宋" w:cs="仿宋"/>
          <w:sz w:val="32"/>
          <w:szCs w:val="32"/>
          <w:highlight w:val="none"/>
          <w:u w:val="single"/>
          <w:lang w:val="en-US" w:eastAsia="zh-CN"/>
        </w:rPr>
        <w:t>547.13</w:t>
      </w:r>
      <w:r>
        <w:rPr>
          <w:rFonts w:hint="eastAsia" w:ascii="仿宋" w:hAnsi="仿宋" w:eastAsia="仿宋" w:cs="仿宋"/>
          <w:sz w:val="32"/>
          <w:szCs w:val="32"/>
          <w:highlight w:val="none"/>
        </w:rPr>
        <w:t>万元。结转和结余事项：</w:t>
      </w:r>
      <w:r>
        <w:rPr>
          <w:rFonts w:hint="eastAsia" w:ascii="仿宋" w:hAnsi="仿宋" w:eastAsia="仿宋" w:cs="仿宋"/>
          <w:sz w:val="32"/>
          <w:szCs w:val="32"/>
          <w:highlight w:val="none"/>
          <w:lang w:val="en-US" w:eastAsia="zh-CN"/>
        </w:rPr>
        <w:t>项目支出结转结余</w:t>
      </w:r>
      <w:r>
        <w:rPr>
          <w:rFonts w:hint="eastAsia" w:ascii="仿宋" w:hAnsi="仿宋" w:eastAsia="仿宋" w:cs="仿宋"/>
          <w:sz w:val="32"/>
          <w:szCs w:val="32"/>
          <w:highlight w:val="none"/>
        </w:rPr>
        <w:t>。与上年决算相比，减少</w:t>
      </w:r>
      <w:r>
        <w:rPr>
          <w:rFonts w:hint="eastAsia" w:ascii="仿宋" w:hAnsi="仿宋" w:eastAsia="仿宋" w:cs="仿宋"/>
          <w:sz w:val="32"/>
          <w:szCs w:val="32"/>
          <w:highlight w:val="none"/>
          <w:u w:val="single"/>
          <w:lang w:val="en-US" w:eastAsia="zh-CN"/>
        </w:rPr>
        <w:t>622.94</w:t>
      </w:r>
      <w:r>
        <w:rPr>
          <w:rFonts w:hint="eastAsia" w:ascii="仿宋" w:hAnsi="仿宋" w:eastAsia="仿宋" w:cs="仿宋"/>
          <w:sz w:val="32"/>
          <w:szCs w:val="32"/>
          <w:highlight w:val="none"/>
        </w:rPr>
        <w:t>万元，减少</w:t>
      </w:r>
      <w:r>
        <w:rPr>
          <w:rFonts w:hint="eastAsia" w:ascii="仿宋" w:hAnsi="仿宋" w:eastAsia="仿宋" w:cs="仿宋"/>
          <w:sz w:val="32"/>
          <w:szCs w:val="32"/>
          <w:highlight w:val="none"/>
          <w:u w:val="single"/>
          <w:lang w:val="en-US" w:eastAsia="zh-CN"/>
        </w:rPr>
        <w:t>44.13</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，变动原因：</w:t>
      </w:r>
      <w:r>
        <w:rPr>
          <w:rFonts w:hint="eastAsia" w:ascii="仿宋" w:hAnsi="仿宋" w:eastAsia="仿宋" w:cs="仿宋"/>
          <w:sz w:val="32"/>
          <w:szCs w:val="32"/>
          <w:highlight w:val="none"/>
          <w:lang w:val="en-US" w:eastAsia="zh-CN"/>
        </w:rPr>
        <w:t>项目支出</w:t>
      </w:r>
      <w:r>
        <w:rPr>
          <w:rFonts w:hint="eastAsia" w:ascii="仿宋" w:hAnsi="仿宋" w:eastAsia="仿宋" w:cs="仿宋"/>
          <w:sz w:val="32"/>
          <w:szCs w:val="32"/>
          <w:highlight w:val="none"/>
        </w:rPr>
        <w:t>。</w:t>
      </w:r>
    </w:p>
    <w:p w14:paraId="018360C7">
      <w:pPr>
        <w:pStyle w:val="6"/>
        <w:spacing w:after="0" w:line="560" w:lineRule="exact"/>
        <w:ind w:firstLine="640" w:firstLineChars="200"/>
        <w:rPr>
          <w:rFonts w:hint="eastAsia" w:ascii="仿宋" w:hAnsi="仿宋" w:eastAsia="仿宋" w:cs="仿宋"/>
          <w:sz w:val="32"/>
          <w:szCs w:val="32"/>
          <w:highlight w:val="none"/>
        </w:rPr>
      </w:pPr>
    </w:p>
    <w:p w14:paraId="41CC6DF1">
      <w:pPr>
        <w:spacing w:line="600" w:lineRule="exact"/>
        <w:ind w:left="0" w:leftChars="0" w:firstLine="643" w:firstLineChars="200"/>
        <w:outlineLvl w:val="2"/>
        <w:rPr>
          <w:rFonts w:hint="eastAsia" w:ascii="黑体" w:hAnsi="黑体" w:eastAsia="黑体" w:cs="黑体"/>
          <w:b/>
          <w:bCs/>
          <w:sz w:val="32"/>
          <w:szCs w:val="36"/>
          <w:highlight w:val="none"/>
        </w:rPr>
      </w:pPr>
      <w:r>
        <w:rPr>
          <w:rFonts w:hint="eastAsia" w:ascii="黑体" w:hAnsi="黑体" w:eastAsia="黑体" w:cs="黑体"/>
          <w:b/>
          <w:bCs/>
          <w:sz w:val="32"/>
          <w:szCs w:val="36"/>
          <w:highlight w:val="none"/>
        </w:rPr>
        <w:t>二、收入决算情况说明</w:t>
      </w:r>
    </w:p>
    <w:p w14:paraId="46AA4957">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sz w:val="32"/>
          <w:szCs w:val="32"/>
          <w:highlight w:val="none"/>
          <w:lang w:val="en-US" w:eastAsia="zh-CN"/>
        </w:rPr>
        <w:t>2025</w:t>
      </w:r>
      <w:r>
        <w:rPr>
          <w:rFonts w:hint="eastAsia" w:ascii="仿宋" w:hAnsi="仿宋" w:eastAsia="仿宋" w:cs="仿宋"/>
          <w:sz w:val="32"/>
          <w:szCs w:val="32"/>
          <w:highlight w:val="none"/>
        </w:rPr>
        <w:t>年度</w:t>
      </w:r>
      <w:r>
        <w:rPr>
          <w:rFonts w:hint="eastAsia" w:ascii="仿宋" w:hAnsi="仿宋" w:eastAsia="仿宋" w:cs="仿宋"/>
          <w:sz w:val="32"/>
          <w:szCs w:val="32"/>
          <w:highlight w:val="none"/>
          <w:lang w:val="en-US" w:eastAsia="zh-CN"/>
        </w:rPr>
        <w:t>本年</w:t>
      </w:r>
      <w:r>
        <w:rPr>
          <w:rFonts w:hint="eastAsia" w:ascii="仿宋" w:hAnsi="仿宋" w:eastAsia="仿宋" w:cs="仿宋"/>
          <w:sz w:val="32"/>
          <w:szCs w:val="32"/>
          <w:highlight w:val="none"/>
        </w:rPr>
        <w:t>收入决算</w:t>
      </w:r>
      <w:r>
        <w:rPr>
          <w:rFonts w:hint="eastAsia" w:ascii="仿宋" w:hAnsi="仿宋" w:eastAsia="仿宋" w:cs="仿宋"/>
          <w:sz w:val="32"/>
          <w:szCs w:val="32"/>
          <w:highlight w:val="none"/>
          <w:lang w:val="en-US" w:eastAsia="zh-CN"/>
        </w:rPr>
        <w:t>合计</w:t>
      </w:r>
      <w:r>
        <w:rPr>
          <w:rFonts w:hint="eastAsia" w:ascii="仿宋" w:hAnsi="仿宋" w:eastAsia="仿宋" w:cs="仿宋"/>
          <w:sz w:val="32"/>
          <w:szCs w:val="32"/>
          <w:highlight w:val="none"/>
          <w:u w:val="single"/>
          <w:lang w:val="en-US" w:eastAsia="zh-CN"/>
        </w:rPr>
        <w:t>983.45</w:t>
      </w:r>
      <w:r>
        <w:rPr>
          <w:rFonts w:hint="eastAsia" w:ascii="仿宋" w:hAnsi="仿宋" w:eastAsia="仿宋" w:cs="仿宋"/>
          <w:sz w:val="32"/>
          <w:szCs w:val="32"/>
          <w:highlight w:val="none"/>
        </w:rPr>
        <w:t>万元</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其中：</w:t>
      </w:r>
    </w:p>
    <w:p w14:paraId="171B28BA">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本年一般公共预算财政拨款收入</w:t>
      </w:r>
      <w:r>
        <w:rPr>
          <w:rFonts w:hint="eastAsia" w:ascii="仿宋" w:hAnsi="仿宋" w:eastAsia="仿宋" w:cs="仿宋"/>
          <w:sz w:val="32"/>
          <w:szCs w:val="32"/>
          <w:highlight w:val="none"/>
          <w:u w:val="single"/>
          <w:lang w:val="en-US" w:eastAsia="zh-CN"/>
        </w:rPr>
        <w:t>899.39</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u w:val="single"/>
          <w:lang w:val="en-US" w:eastAsia="zh-CN"/>
        </w:rPr>
        <w:t>91.45</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23C236D9">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本年政府性基金预算财政拨款收入</w:t>
      </w:r>
      <w:r>
        <w:rPr>
          <w:rFonts w:hint="eastAsia" w:ascii="仿宋" w:hAnsi="仿宋" w:eastAsia="仿宋" w:cs="仿宋"/>
          <w:sz w:val="32"/>
          <w:szCs w:val="32"/>
          <w:highlight w:val="none"/>
          <w:u w:val="single"/>
          <w:lang w:val="en-US" w:eastAsia="zh-CN"/>
        </w:rPr>
        <w:t>84.06</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u w:val="single"/>
          <w:lang w:val="en-US" w:eastAsia="zh-CN"/>
        </w:rPr>
        <w:t>8.55</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06317120">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本年国有资本经营预算财政拨款收入</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70592A98">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本年上级补助收入</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3AC51DBF">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本年事业收入</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0AEF5A73">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本年经营收入</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；本年附属单位上缴收入</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6EA3D7AF">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本年其他收入</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23C48AF1">
      <w:pPr>
        <w:pStyle w:val="6"/>
        <w:spacing w:after="0" w:line="560" w:lineRule="exact"/>
        <w:ind w:firstLine="640" w:firstLineChars="200"/>
        <w:jc w:val="both"/>
        <w:rPr>
          <w:rFonts w:hint="eastAsia" w:ascii="仿宋" w:hAnsi="仿宋" w:eastAsia="仿宋" w:cs="仿宋"/>
          <w:sz w:val="32"/>
          <w:szCs w:val="32"/>
          <w:highlight w:val="none"/>
        </w:rPr>
      </w:pPr>
    </w:p>
    <w:p w14:paraId="5FDF7064">
      <w:pPr>
        <w:pStyle w:val="6"/>
        <w:spacing w:after="0" w:line="560" w:lineRule="exact"/>
        <w:ind w:firstLine="420" w:firstLineChars="200"/>
        <w:jc w:val="both"/>
        <w:rPr>
          <w:rFonts w:hint="eastAsia" w:ascii="仿宋" w:hAnsi="仿宋" w:eastAsia="仿宋" w:cs="仿宋"/>
          <w:sz w:val="32"/>
          <w:szCs w:val="32"/>
          <w:highlight w:val="none"/>
        </w:rPr>
      </w:pPr>
      <w:r>
        <w:drawing>
          <wp:anchor distT="0" distB="0" distL="114300" distR="114300" simplePos="0" relativeHeight="251659264" behindDoc="0" locked="0" layoutInCell="1" allowOverlap="1">
            <wp:simplePos x="0" y="0"/>
            <wp:positionH relativeFrom="column">
              <wp:posOffset>641350</wp:posOffset>
            </wp:positionH>
            <wp:positionV relativeFrom="paragraph">
              <wp:posOffset>252095</wp:posOffset>
            </wp:positionV>
            <wp:extent cx="3913505" cy="2512695"/>
            <wp:effectExtent l="4445" t="4445" r="11430" b="8890"/>
            <wp:wrapSquare wrapText="bothSides"/>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14:paraId="6CA4B9D2">
      <w:pPr>
        <w:pStyle w:val="6"/>
        <w:spacing w:after="0" w:line="560" w:lineRule="exact"/>
        <w:ind w:firstLine="640" w:firstLineChars="200"/>
        <w:jc w:val="both"/>
        <w:rPr>
          <w:rFonts w:hint="eastAsia" w:ascii="仿宋" w:hAnsi="仿宋" w:eastAsia="仿宋" w:cs="仿宋"/>
          <w:sz w:val="32"/>
          <w:szCs w:val="32"/>
          <w:highlight w:val="none"/>
        </w:rPr>
      </w:pPr>
    </w:p>
    <w:p w14:paraId="0FB63ED3">
      <w:pPr>
        <w:pStyle w:val="6"/>
        <w:spacing w:after="0" w:line="560" w:lineRule="exact"/>
        <w:ind w:firstLine="640" w:firstLineChars="200"/>
        <w:jc w:val="both"/>
        <w:rPr>
          <w:rFonts w:hint="eastAsia" w:ascii="仿宋" w:hAnsi="仿宋" w:eastAsia="仿宋" w:cs="仿宋"/>
          <w:sz w:val="32"/>
          <w:szCs w:val="32"/>
          <w:highlight w:val="none"/>
        </w:rPr>
      </w:pPr>
    </w:p>
    <w:p w14:paraId="343FB78B">
      <w:pPr>
        <w:pStyle w:val="6"/>
        <w:spacing w:after="0" w:line="560" w:lineRule="exact"/>
        <w:ind w:firstLine="640" w:firstLineChars="200"/>
        <w:jc w:val="both"/>
        <w:rPr>
          <w:rFonts w:hint="eastAsia" w:ascii="仿宋" w:hAnsi="仿宋" w:eastAsia="仿宋" w:cs="仿宋"/>
          <w:sz w:val="32"/>
          <w:szCs w:val="32"/>
          <w:highlight w:val="none"/>
        </w:rPr>
      </w:pPr>
    </w:p>
    <w:p w14:paraId="5DCD9F0E">
      <w:pPr>
        <w:pStyle w:val="6"/>
        <w:spacing w:after="0" w:line="560" w:lineRule="exact"/>
        <w:ind w:firstLine="640" w:firstLineChars="200"/>
        <w:jc w:val="both"/>
        <w:rPr>
          <w:rFonts w:hint="eastAsia" w:ascii="仿宋" w:hAnsi="仿宋" w:eastAsia="仿宋" w:cs="仿宋"/>
          <w:sz w:val="32"/>
          <w:szCs w:val="32"/>
          <w:highlight w:val="none"/>
        </w:rPr>
      </w:pPr>
    </w:p>
    <w:p w14:paraId="7F1D0B47">
      <w:pPr>
        <w:pStyle w:val="6"/>
        <w:spacing w:after="0" w:line="560" w:lineRule="exact"/>
        <w:ind w:firstLine="640" w:firstLineChars="200"/>
        <w:jc w:val="both"/>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 xml:space="preserve">  </w:t>
      </w:r>
    </w:p>
    <w:p w14:paraId="3283AA1C">
      <w:pPr>
        <w:pStyle w:val="6"/>
        <w:spacing w:after="0" w:line="560" w:lineRule="exact"/>
        <w:ind w:firstLine="640" w:firstLineChars="200"/>
        <w:jc w:val="both"/>
        <w:rPr>
          <w:rFonts w:hint="eastAsia" w:ascii="仿宋" w:hAnsi="仿宋" w:eastAsia="仿宋" w:cs="仿宋"/>
          <w:sz w:val="32"/>
          <w:szCs w:val="32"/>
          <w:highlight w:val="none"/>
        </w:rPr>
      </w:pPr>
    </w:p>
    <w:p w14:paraId="02437C6C">
      <w:pPr>
        <w:pStyle w:val="6"/>
        <w:spacing w:after="0" w:line="560" w:lineRule="exact"/>
        <w:ind w:firstLine="640" w:firstLineChars="200"/>
        <w:jc w:val="both"/>
        <w:rPr>
          <w:rFonts w:hint="eastAsia" w:ascii="仿宋" w:hAnsi="仿宋" w:eastAsia="仿宋" w:cs="仿宋"/>
          <w:sz w:val="32"/>
          <w:szCs w:val="32"/>
          <w:highlight w:val="none"/>
        </w:rPr>
      </w:pPr>
    </w:p>
    <w:p w14:paraId="127013CA">
      <w:pPr>
        <w:pStyle w:val="6"/>
        <w:spacing w:after="0" w:line="560" w:lineRule="exact"/>
        <w:ind w:firstLine="640" w:firstLineChars="200"/>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图1.收入决算图</w:t>
      </w:r>
    </w:p>
    <w:p w14:paraId="1804E299">
      <w:pPr>
        <w:pStyle w:val="6"/>
        <w:spacing w:after="0" w:line="560" w:lineRule="exact"/>
        <w:ind w:firstLine="640" w:firstLineChars="200"/>
        <w:jc w:val="center"/>
        <w:rPr>
          <w:rFonts w:ascii="Times New Roman" w:hAnsi="Times New Roman" w:eastAsia="仿宋_GB2312" w:cs="仿宋"/>
          <w:sz w:val="32"/>
          <w:szCs w:val="32"/>
          <w:highlight w:val="none"/>
        </w:rPr>
      </w:pPr>
    </w:p>
    <w:p w14:paraId="509F7808">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三、支出决算情况说明</w:t>
      </w:r>
    </w:p>
    <w:p w14:paraId="2BBA8601">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sz w:val="32"/>
          <w:szCs w:val="32"/>
          <w:highlight w:val="none"/>
          <w:lang w:val="en-US" w:eastAsia="zh-CN"/>
        </w:rPr>
        <w:t>2025</w:t>
      </w:r>
      <w:r>
        <w:rPr>
          <w:rFonts w:hint="eastAsia" w:ascii="仿宋" w:hAnsi="仿宋" w:eastAsia="仿宋" w:cs="仿宋"/>
          <w:sz w:val="32"/>
          <w:szCs w:val="32"/>
          <w:highlight w:val="none"/>
        </w:rPr>
        <w:t>年度本年支出决算合计</w:t>
      </w:r>
      <w:r>
        <w:rPr>
          <w:rFonts w:hint="eastAsia" w:ascii="仿宋" w:hAnsi="仿宋" w:eastAsia="仿宋" w:cs="仿宋"/>
          <w:sz w:val="32"/>
          <w:szCs w:val="32"/>
          <w:highlight w:val="none"/>
          <w:u w:val="single"/>
          <w:lang w:val="en-US" w:eastAsia="zh-CN"/>
        </w:rPr>
        <w:t>1606.39</w:t>
      </w:r>
      <w:r>
        <w:rPr>
          <w:rFonts w:hint="eastAsia" w:ascii="仿宋" w:hAnsi="仿宋" w:eastAsia="仿宋" w:cs="仿宋"/>
          <w:sz w:val="32"/>
          <w:szCs w:val="32"/>
          <w:highlight w:val="none"/>
        </w:rPr>
        <w:t>万元，其中：</w:t>
      </w:r>
    </w:p>
    <w:p w14:paraId="5BE6E5CC">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本年基本支出</w:t>
      </w:r>
      <w:r>
        <w:rPr>
          <w:rFonts w:hint="eastAsia" w:ascii="仿宋" w:hAnsi="仿宋" w:eastAsia="仿宋" w:cs="仿宋"/>
          <w:sz w:val="32"/>
          <w:szCs w:val="32"/>
          <w:highlight w:val="none"/>
          <w:u w:val="single"/>
          <w:lang w:val="en-US" w:eastAsia="zh-CN"/>
        </w:rPr>
        <w:t>713.31</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u w:val="single"/>
          <w:lang w:val="en-US" w:eastAsia="zh-CN"/>
        </w:rPr>
        <w:t>44.4</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444B02C9">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本年项目支出</w:t>
      </w:r>
      <w:r>
        <w:rPr>
          <w:rFonts w:hint="eastAsia" w:ascii="仿宋" w:hAnsi="仿宋" w:eastAsia="仿宋" w:cs="仿宋"/>
          <w:sz w:val="32"/>
          <w:szCs w:val="32"/>
          <w:highlight w:val="none"/>
          <w:u w:val="single"/>
          <w:lang w:val="en-US" w:eastAsia="zh-CN"/>
        </w:rPr>
        <w:t>893.08</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u w:val="single"/>
          <w:lang w:val="en-US" w:eastAsia="zh-CN"/>
        </w:rPr>
        <w:t>55.6</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20C27B0B">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本年上缴上级支出</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6C7A0A6E">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本年经营支出</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18EF75C9">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本年对附属单位补助支出</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w:t>
      </w:r>
    </w:p>
    <w:p w14:paraId="57D20E91">
      <w:pPr>
        <w:pStyle w:val="6"/>
        <w:spacing w:after="0" w:line="560" w:lineRule="exact"/>
        <w:jc w:val="center"/>
        <w:rPr>
          <w:rFonts w:hint="eastAsia" w:ascii="仿宋" w:hAnsi="仿宋" w:eastAsia="仿宋" w:cs="仿宋"/>
          <w:sz w:val="32"/>
          <w:szCs w:val="32"/>
          <w:highlight w:val="none"/>
        </w:rPr>
      </w:pPr>
    </w:p>
    <w:p w14:paraId="21240C80">
      <w:pPr>
        <w:pStyle w:val="6"/>
        <w:spacing w:after="0" w:line="560" w:lineRule="exact"/>
        <w:jc w:val="center"/>
        <w:rPr>
          <w:rFonts w:hint="eastAsia" w:ascii="仿宋" w:hAnsi="仿宋" w:eastAsia="仿宋" w:cs="仿宋"/>
          <w:sz w:val="32"/>
          <w:szCs w:val="32"/>
          <w:highlight w:val="none"/>
        </w:rPr>
      </w:pPr>
      <w:r>
        <w:drawing>
          <wp:anchor distT="0" distB="0" distL="114300" distR="114300" simplePos="0" relativeHeight="251660288" behindDoc="0" locked="0" layoutInCell="1" allowOverlap="1">
            <wp:simplePos x="0" y="0"/>
            <wp:positionH relativeFrom="column">
              <wp:posOffset>918845</wp:posOffset>
            </wp:positionH>
            <wp:positionV relativeFrom="paragraph">
              <wp:posOffset>208915</wp:posOffset>
            </wp:positionV>
            <wp:extent cx="3991610" cy="2222500"/>
            <wp:effectExtent l="4445" t="4445" r="8890" b="7620"/>
            <wp:wrapSquare wrapText="bothSides"/>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22F1117C">
      <w:pPr>
        <w:pStyle w:val="6"/>
        <w:spacing w:after="0" w:line="560" w:lineRule="exact"/>
        <w:jc w:val="center"/>
        <w:rPr>
          <w:rFonts w:hint="eastAsia" w:ascii="仿宋" w:hAnsi="仿宋" w:eastAsia="仿宋" w:cs="仿宋"/>
          <w:sz w:val="32"/>
          <w:szCs w:val="32"/>
          <w:highlight w:val="none"/>
        </w:rPr>
      </w:pPr>
    </w:p>
    <w:p w14:paraId="5CE54BA1">
      <w:pPr>
        <w:pStyle w:val="6"/>
        <w:spacing w:after="0" w:line="560" w:lineRule="exact"/>
        <w:jc w:val="center"/>
        <w:rPr>
          <w:rFonts w:hint="eastAsia" w:ascii="仿宋" w:hAnsi="仿宋" w:eastAsia="仿宋" w:cs="仿宋"/>
          <w:sz w:val="32"/>
          <w:szCs w:val="32"/>
          <w:highlight w:val="none"/>
        </w:rPr>
      </w:pPr>
    </w:p>
    <w:p w14:paraId="0C2862AB">
      <w:pPr>
        <w:pStyle w:val="6"/>
        <w:spacing w:after="0" w:line="560" w:lineRule="exact"/>
        <w:jc w:val="center"/>
        <w:rPr>
          <w:rFonts w:hint="eastAsia" w:ascii="仿宋" w:hAnsi="仿宋" w:eastAsia="仿宋" w:cs="仿宋"/>
          <w:sz w:val="32"/>
          <w:szCs w:val="32"/>
          <w:highlight w:val="none"/>
        </w:rPr>
      </w:pPr>
    </w:p>
    <w:p w14:paraId="75F93766">
      <w:pPr>
        <w:pStyle w:val="6"/>
        <w:spacing w:after="0" w:line="560" w:lineRule="exact"/>
        <w:jc w:val="center"/>
        <w:rPr>
          <w:rFonts w:hint="eastAsia" w:ascii="仿宋" w:hAnsi="仿宋" w:eastAsia="仿宋" w:cs="仿宋"/>
          <w:sz w:val="32"/>
          <w:szCs w:val="32"/>
          <w:highlight w:val="none"/>
        </w:rPr>
      </w:pPr>
    </w:p>
    <w:p w14:paraId="25ABBC58">
      <w:pPr>
        <w:pStyle w:val="6"/>
        <w:spacing w:after="0" w:line="560" w:lineRule="exact"/>
        <w:jc w:val="center"/>
        <w:rPr>
          <w:rFonts w:hint="eastAsia" w:ascii="仿宋" w:hAnsi="仿宋" w:eastAsia="仿宋" w:cs="仿宋"/>
          <w:sz w:val="32"/>
          <w:szCs w:val="32"/>
          <w:highlight w:val="none"/>
        </w:rPr>
      </w:pPr>
    </w:p>
    <w:p w14:paraId="180945A1">
      <w:pPr>
        <w:pStyle w:val="6"/>
        <w:spacing w:after="0" w:line="560" w:lineRule="exact"/>
        <w:jc w:val="center"/>
        <w:rPr>
          <w:rFonts w:hint="eastAsia" w:ascii="仿宋" w:hAnsi="仿宋" w:eastAsia="仿宋" w:cs="仿宋"/>
          <w:sz w:val="32"/>
          <w:szCs w:val="32"/>
          <w:highlight w:val="none"/>
        </w:rPr>
      </w:pPr>
    </w:p>
    <w:p w14:paraId="46583DA9">
      <w:pPr>
        <w:pStyle w:val="6"/>
        <w:spacing w:after="0" w:line="560" w:lineRule="exact"/>
        <w:jc w:val="center"/>
        <w:rPr>
          <w:rFonts w:hint="eastAsia" w:ascii="仿宋" w:hAnsi="仿宋" w:eastAsia="仿宋" w:cs="仿宋"/>
          <w:sz w:val="32"/>
          <w:szCs w:val="32"/>
          <w:highlight w:val="none"/>
        </w:rPr>
      </w:pPr>
    </w:p>
    <w:p w14:paraId="7A70EE47">
      <w:pPr>
        <w:pStyle w:val="6"/>
        <w:spacing w:after="0" w:line="560" w:lineRule="exact"/>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图2.支出决算图</w:t>
      </w:r>
    </w:p>
    <w:p w14:paraId="1EEDE487">
      <w:pPr>
        <w:pStyle w:val="6"/>
        <w:spacing w:after="0" w:line="560" w:lineRule="exact"/>
        <w:jc w:val="center"/>
        <w:rPr>
          <w:rFonts w:hint="eastAsia" w:ascii="仿宋" w:hAnsi="仿宋" w:eastAsia="仿宋" w:cs="仿宋"/>
          <w:sz w:val="32"/>
          <w:szCs w:val="32"/>
          <w:highlight w:val="none"/>
        </w:rPr>
      </w:pPr>
    </w:p>
    <w:p w14:paraId="24B1F0F6">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四、财政拨款收入支出决算总体情况说明</w:t>
      </w:r>
    </w:p>
    <w:p w14:paraId="03983C92">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sz w:val="32"/>
          <w:szCs w:val="32"/>
          <w:highlight w:val="none"/>
          <w:lang w:val="en-US" w:eastAsia="zh-CN"/>
        </w:rPr>
        <w:t>2025</w:t>
      </w:r>
      <w:r>
        <w:rPr>
          <w:rFonts w:hint="eastAsia" w:ascii="仿宋" w:hAnsi="仿宋" w:eastAsia="仿宋" w:cs="仿宋"/>
          <w:sz w:val="32"/>
          <w:szCs w:val="32"/>
          <w:highlight w:val="none"/>
        </w:rPr>
        <w:t>年度财政拨款收入、支出决算总计</w:t>
      </w:r>
      <w:r>
        <w:rPr>
          <w:rFonts w:hint="eastAsia" w:ascii="仿宋" w:hAnsi="仿宋" w:eastAsia="仿宋" w:cs="仿宋"/>
          <w:sz w:val="32"/>
          <w:szCs w:val="32"/>
          <w:highlight w:val="none"/>
          <w:u w:val="single"/>
          <w:lang w:val="en-US" w:eastAsia="zh-CN"/>
        </w:rPr>
        <w:t>983.45</w:t>
      </w:r>
      <w:r>
        <w:rPr>
          <w:rFonts w:hint="eastAsia" w:ascii="仿宋" w:hAnsi="仿宋" w:eastAsia="仿宋" w:cs="仿宋"/>
          <w:sz w:val="32"/>
          <w:szCs w:val="32"/>
          <w:highlight w:val="none"/>
        </w:rPr>
        <w:t>万元，与年初预算相比，收、支总计各增加</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202.37</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万元，增长</w:t>
      </w:r>
      <w:r>
        <w:rPr>
          <w:rFonts w:hint="eastAsia" w:ascii="仿宋" w:hAnsi="仿宋" w:eastAsia="仿宋" w:cs="仿宋"/>
          <w:sz w:val="32"/>
          <w:szCs w:val="32"/>
          <w:highlight w:val="none"/>
          <w:u w:val="single"/>
          <w:lang w:val="en-US" w:eastAsia="zh-CN"/>
        </w:rPr>
        <w:t>25.91</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，变动原因：</w:t>
      </w:r>
      <w:r>
        <w:rPr>
          <w:rFonts w:hint="eastAsia" w:ascii="仿宋" w:hAnsi="仿宋" w:eastAsia="仿宋" w:cs="仿宋"/>
          <w:sz w:val="32"/>
          <w:szCs w:val="32"/>
          <w:highlight w:val="none"/>
          <w:lang w:val="en-US" w:eastAsia="zh-CN"/>
        </w:rPr>
        <w:t>一是两名退休人员去世，死亡抚恤增加21.88万元，二是我局进行了债务化解，财政拨入项目资金和政府性基金用于化解债务</w:t>
      </w:r>
      <w:r>
        <w:rPr>
          <w:rFonts w:hint="eastAsia" w:ascii="仿宋" w:hAnsi="仿宋" w:eastAsia="仿宋" w:cs="仿宋"/>
          <w:sz w:val="32"/>
          <w:szCs w:val="32"/>
          <w:highlight w:val="none"/>
        </w:rPr>
        <w:t>；与上年决算相比，收、支总计各减少</w:t>
      </w:r>
      <w:r>
        <w:rPr>
          <w:rFonts w:hint="eastAsia" w:ascii="仿宋" w:hAnsi="仿宋" w:eastAsia="仿宋" w:cs="仿宋"/>
          <w:sz w:val="32"/>
          <w:szCs w:val="32"/>
          <w:highlight w:val="none"/>
          <w:u w:val="single"/>
          <w:lang w:val="en-US" w:eastAsia="zh-CN"/>
        </w:rPr>
        <w:t>428.17</w:t>
      </w:r>
      <w:r>
        <w:rPr>
          <w:rFonts w:hint="eastAsia" w:ascii="仿宋" w:hAnsi="仿宋" w:eastAsia="仿宋" w:cs="仿宋"/>
          <w:sz w:val="32"/>
          <w:szCs w:val="32"/>
          <w:highlight w:val="none"/>
        </w:rPr>
        <w:t>万元，减少</w:t>
      </w:r>
      <w:r>
        <w:rPr>
          <w:rFonts w:hint="eastAsia" w:ascii="仿宋" w:hAnsi="仿宋" w:eastAsia="仿宋" w:cs="仿宋"/>
          <w:sz w:val="32"/>
          <w:szCs w:val="32"/>
          <w:highlight w:val="none"/>
          <w:u w:val="single"/>
          <w:lang w:val="en-US" w:eastAsia="zh-CN"/>
        </w:rPr>
        <w:t>30.33</w:t>
      </w:r>
      <w:r>
        <w:rPr>
          <w:rFonts w:hint="eastAsia" w:ascii="仿宋" w:hAnsi="仿宋" w:eastAsia="仿宋" w:cs="仿宋"/>
          <w:sz w:val="32"/>
          <w:szCs w:val="32"/>
          <w:highlight w:val="none"/>
          <w:lang w:eastAsia="zh-CN"/>
        </w:rPr>
        <w:t>%</w:t>
      </w:r>
    </w:p>
    <w:p w14:paraId="40A6E92F">
      <w:pPr>
        <w:pStyle w:val="6"/>
        <w:spacing w:after="0" w:line="560" w:lineRule="exact"/>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变动原因：</w:t>
      </w:r>
      <w:r>
        <w:rPr>
          <w:rFonts w:hint="eastAsia" w:ascii="仿宋" w:hAnsi="仿宋" w:eastAsia="仿宋" w:cs="仿宋"/>
          <w:sz w:val="32"/>
          <w:szCs w:val="32"/>
          <w:highlight w:val="none"/>
          <w:lang w:val="en-US" w:eastAsia="zh-CN"/>
        </w:rPr>
        <w:t>本年拨入的债务化解资金比上年减少</w:t>
      </w:r>
      <w:r>
        <w:rPr>
          <w:rFonts w:hint="eastAsia" w:ascii="仿宋" w:hAnsi="仿宋" w:eastAsia="仿宋" w:cs="仿宋"/>
          <w:sz w:val="32"/>
          <w:szCs w:val="32"/>
          <w:highlight w:val="none"/>
        </w:rPr>
        <w:t>。</w:t>
      </w:r>
    </w:p>
    <w:p w14:paraId="6B3B4719">
      <w:pPr>
        <w:pStyle w:val="6"/>
        <w:spacing w:after="0" w:line="560" w:lineRule="exact"/>
        <w:rPr>
          <w:rFonts w:hint="eastAsia" w:ascii="仿宋" w:hAnsi="仿宋" w:eastAsia="仿宋" w:cs="仿宋"/>
          <w:sz w:val="32"/>
          <w:szCs w:val="32"/>
          <w:highlight w:val="none"/>
        </w:rPr>
      </w:pPr>
    </w:p>
    <w:p w14:paraId="7A8F7881">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五、一般公共预算支出决算情况说明</w:t>
      </w:r>
    </w:p>
    <w:p w14:paraId="067D55BE">
      <w:pPr>
        <w:pStyle w:val="6"/>
        <w:spacing w:after="0" w:line="560" w:lineRule="exact"/>
        <w:ind w:firstLine="640" w:firstLineChars="200"/>
        <w:rPr>
          <w:rFonts w:ascii="Times New Roman" w:hAnsi="Times New Roman" w:eastAsia="仿宋_GB2312" w:cs="仿宋"/>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sz w:val="32"/>
          <w:szCs w:val="32"/>
          <w:highlight w:val="none"/>
          <w:lang w:val="en-US" w:eastAsia="zh-CN"/>
        </w:rPr>
        <w:t>2025</w:t>
      </w:r>
      <w:r>
        <w:rPr>
          <w:rFonts w:hint="eastAsia" w:ascii="仿宋" w:hAnsi="仿宋" w:eastAsia="仿宋" w:cs="仿宋"/>
          <w:sz w:val="32"/>
          <w:szCs w:val="32"/>
          <w:highlight w:val="none"/>
        </w:rPr>
        <w:t>年度一般公共预算财政拨款支出决算</w:t>
      </w:r>
      <w:r>
        <w:rPr>
          <w:rFonts w:hint="eastAsia" w:ascii="仿宋" w:hAnsi="仿宋" w:eastAsia="仿宋" w:cs="仿宋"/>
          <w:sz w:val="32"/>
          <w:szCs w:val="32"/>
          <w:highlight w:val="none"/>
          <w:u w:val="single"/>
          <w:lang w:val="en-US" w:eastAsia="zh-CN"/>
        </w:rPr>
        <w:t>899.39</w:t>
      </w:r>
      <w:r>
        <w:rPr>
          <w:rFonts w:hint="eastAsia" w:ascii="仿宋" w:hAnsi="仿宋" w:eastAsia="仿宋" w:cs="仿宋"/>
          <w:sz w:val="32"/>
          <w:szCs w:val="32"/>
          <w:highlight w:val="none"/>
        </w:rPr>
        <w:t>万元。与年初预算</w:t>
      </w:r>
      <w:r>
        <w:rPr>
          <w:rFonts w:hint="eastAsia" w:ascii="仿宋" w:hAnsi="仿宋" w:eastAsia="仿宋" w:cs="仿宋"/>
          <w:sz w:val="32"/>
          <w:szCs w:val="32"/>
          <w:highlight w:val="none"/>
          <w:u w:val="single"/>
          <w:lang w:val="en-US" w:eastAsia="zh-CN"/>
        </w:rPr>
        <w:t>781.08</w:t>
      </w:r>
      <w:r>
        <w:rPr>
          <w:rFonts w:hint="eastAsia" w:ascii="仿宋" w:hAnsi="仿宋" w:eastAsia="仿宋" w:cs="仿宋"/>
          <w:sz w:val="32"/>
          <w:szCs w:val="32"/>
          <w:highlight w:val="none"/>
        </w:rPr>
        <w:t>万元相比，完成年初预算的</w:t>
      </w:r>
      <w:r>
        <w:rPr>
          <w:rFonts w:hint="eastAsia" w:ascii="仿宋" w:hAnsi="仿宋" w:eastAsia="仿宋" w:cs="仿宋"/>
          <w:sz w:val="32"/>
          <w:szCs w:val="32"/>
          <w:highlight w:val="none"/>
          <w:u w:val="single"/>
          <w:lang w:val="en-US" w:eastAsia="zh-CN"/>
        </w:rPr>
        <w:t>115.15</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。其中</w:t>
      </w:r>
      <w:r>
        <w:rPr>
          <w:rFonts w:hint="eastAsia" w:ascii="Times New Roman" w:hAnsi="Times New Roman" w:eastAsia="仿宋_GB2312" w:cs="仿宋"/>
          <w:sz w:val="32"/>
          <w:szCs w:val="32"/>
          <w:highlight w:val="none"/>
        </w:rPr>
        <w:t>：</w:t>
      </w:r>
    </w:p>
    <w:p w14:paraId="79B41A5D">
      <w:pPr>
        <w:pStyle w:val="6"/>
        <w:tabs>
          <w:tab w:val="left" w:pos="4275"/>
        </w:tabs>
        <w:spacing w:after="0" w:line="560" w:lineRule="exact"/>
        <w:ind w:firstLine="643" w:firstLineChars="20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（一）一般公共服务（类）</w:t>
      </w:r>
    </w:p>
    <w:p w14:paraId="0B6B6E66">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一般公共服务类</w:t>
      </w:r>
      <w:r>
        <w:rPr>
          <w:rFonts w:hint="eastAsia" w:ascii="仿宋" w:hAnsi="仿宋" w:eastAsia="仿宋" w:cs="仿宋"/>
          <w:sz w:val="32"/>
          <w:szCs w:val="32"/>
          <w:highlight w:val="none"/>
          <w:lang w:val="en-US" w:eastAsia="zh-CN"/>
        </w:rPr>
        <w:t>决算</w:t>
      </w:r>
      <w:r>
        <w:rPr>
          <w:rFonts w:hint="eastAsia" w:ascii="仿宋" w:hAnsi="仿宋" w:eastAsia="仿宋" w:cs="仿宋"/>
          <w:sz w:val="32"/>
          <w:szCs w:val="32"/>
          <w:highlight w:val="none"/>
        </w:rPr>
        <w:t>数为</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万元，与</w:t>
      </w:r>
      <w:r>
        <w:rPr>
          <w:rFonts w:hint="eastAsia" w:ascii="仿宋" w:hAnsi="仿宋" w:eastAsia="仿宋" w:cs="仿宋"/>
          <w:sz w:val="32"/>
          <w:szCs w:val="32"/>
          <w:highlight w:val="none"/>
          <w:lang w:val="en-US" w:eastAsia="zh-CN"/>
        </w:rPr>
        <w:t>年初预算</w:t>
      </w:r>
      <w:r>
        <w:rPr>
          <w:rFonts w:hint="eastAsia" w:ascii="仿宋" w:hAnsi="仿宋" w:eastAsia="仿宋" w:cs="仿宋"/>
          <w:sz w:val="32"/>
          <w:szCs w:val="32"/>
          <w:highlight w:val="none"/>
        </w:rPr>
        <w:t>相比增加（减少）</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万元。其中：</w:t>
      </w:r>
    </w:p>
    <w:p w14:paraId="0E6A8E4D">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1．人大事务（款）行政运行（项）。年初预算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万元，支出决算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万元，完成年初预算的</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。决算数与年初预算数的差异原因：</w:t>
      </w:r>
      <w:r>
        <w:rPr>
          <w:rFonts w:hint="eastAsia" w:ascii="仿宋" w:hAnsi="仿宋" w:eastAsia="仿宋" w:cs="仿宋"/>
          <w:sz w:val="32"/>
          <w:szCs w:val="32"/>
          <w:highlight w:val="none"/>
          <w:lang w:val="en-US" w:eastAsia="zh-CN"/>
        </w:rPr>
        <w:t>不涉及</w:t>
      </w:r>
      <w:r>
        <w:rPr>
          <w:rFonts w:hint="eastAsia" w:ascii="仿宋" w:hAnsi="仿宋" w:eastAsia="仿宋" w:cs="仿宋"/>
          <w:sz w:val="32"/>
          <w:szCs w:val="32"/>
          <w:highlight w:val="none"/>
        </w:rPr>
        <w:t>。</w:t>
      </w:r>
    </w:p>
    <w:p w14:paraId="7FF09110">
      <w:pPr>
        <w:pStyle w:val="6"/>
        <w:tabs>
          <w:tab w:val="left" w:pos="4275"/>
        </w:tabs>
        <w:spacing w:after="0" w:line="560" w:lineRule="exact"/>
        <w:ind w:firstLine="643" w:firstLineChars="20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（二）公共安全（类）</w:t>
      </w:r>
    </w:p>
    <w:p w14:paraId="659D3A67">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公共安全</w:t>
      </w:r>
      <w:r>
        <w:rPr>
          <w:rFonts w:hint="eastAsia" w:ascii="仿宋" w:hAnsi="仿宋" w:eastAsia="仿宋" w:cs="仿宋"/>
          <w:sz w:val="32"/>
          <w:szCs w:val="32"/>
          <w:highlight w:val="none"/>
        </w:rPr>
        <w:t>类</w:t>
      </w:r>
      <w:r>
        <w:rPr>
          <w:rFonts w:hint="eastAsia" w:ascii="仿宋" w:hAnsi="仿宋" w:eastAsia="仿宋" w:cs="仿宋"/>
          <w:sz w:val="32"/>
          <w:szCs w:val="32"/>
          <w:highlight w:val="none"/>
          <w:lang w:val="en-US" w:eastAsia="zh-CN"/>
        </w:rPr>
        <w:t>决算</w:t>
      </w:r>
      <w:r>
        <w:rPr>
          <w:rFonts w:hint="eastAsia" w:ascii="仿宋" w:hAnsi="仿宋" w:eastAsia="仿宋" w:cs="仿宋"/>
          <w:sz w:val="32"/>
          <w:szCs w:val="32"/>
          <w:highlight w:val="none"/>
        </w:rPr>
        <w:t>数为</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万元，与</w:t>
      </w:r>
      <w:r>
        <w:rPr>
          <w:rFonts w:hint="eastAsia" w:ascii="仿宋" w:hAnsi="仿宋" w:eastAsia="仿宋" w:cs="仿宋"/>
          <w:sz w:val="32"/>
          <w:szCs w:val="32"/>
          <w:highlight w:val="none"/>
          <w:lang w:val="en-US" w:eastAsia="zh-CN"/>
        </w:rPr>
        <w:t>年初预算</w:t>
      </w:r>
      <w:r>
        <w:rPr>
          <w:rFonts w:hint="eastAsia" w:ascii="仿宋" w:hAnsi="仿宋" w:eastAsia="仿宋" w:cs="仿宋"/>
          <w:sz w:val="32"/>
          <w:szCs w:val="32"/>
          <w:highlight w:val="none"/>
        </w:rPr>
        <w:t>相比增加（减少）</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万元。其中：</w:t>
      </w:r>
    </w:p>
    <w:p w14:paraId="5B5E1491">
      <w:pPr>
        <w:pStyle w:val="6"/>
        <w:numPr>
          <w:ilvl w:val="0"/>
          <w:numId w:val="1"/>
        </w:numPr>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公安（款）行政运行（项）。年初预算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万元，支出决算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万元，完成年初预算的</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。决算数与年初预算数的差异原因：</w:t>
      </w:r>
      <w:r>
        <w:rPr>
          <w:rFonts w:hint="eastAsia" w:ascii="仿宋" w:hAnsi="仿宋" w:eastAsia="仿宋" w:cs="仿宋"/>
          <w:sz w:val="32"/>
          <w:szCs w:val="32"/>
          <w:highlight w:val="none"/>
          <w:lang w:val="en-US" w:eastAsia="zh-CN"/>
        </w:rPr>
        <w:t>不涉及</w:t>
      </w:r>
      <w:r>
        <w:rPr>
          <w:rFonts w:hint="eastAsia" w:ascii="仿宋" w:hAnsi="仿宋" w:eastAsia="仿宋" w:cs="仿宋"/>
          <w:sz w:val="32"/>
          <w:szCs w:val="32"/>
          <w:highlight w:val="none"/>
        </w:rPr>
        <w:t>。</w:t>
      </w:r>
    </w:p>
    <w:p w14:paraId="5708C7CE">
      <w:pPr>
        <w:pStyle w:val="6"/>
        <w:tabs>
          <w:tab w:val="left" w:pos="4275"/>
        </w:tabs>
        <w:spacing w:after="0" w:line="560" w:lineRule="exact"/>
        <w:ind w:firstLine="643" w:firstLineChars="20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w:t>
      </w:r>
      <w:r>
        <w:rPr>
          <w:rFonts w:hint="eastAsia" w:ascii="黑体" w:hAnsi="黑体" w:eastAsia="黑体" w:cs="黑体"/>
          <w:b/>
          <w:bCs/>
          <w:sz w:val="32"/>
          <w:szCs w:val="32"/>
          <w:highlight w:val="none"/>
          <w:lang w:val="en-US" w:eastAsia="zh-CN"/>
        </w:rPr>
        <w:t>三</w:t>
      </w:r>
      <w:r>
        <w:rPr>
          <w:rFonts w:hint="eastAsia" w:ascii="黑体" w:hAnsi="黑体" w:eastAsia="黑体" w:cs="黑体"/>
          <w:b/>
          <w:bCs/>
          <w:sz w:val="32"/>
          <w:szCs w:val="32"/>
          <w:highlight w:val="none"/>
        </w:rPr>
        <w:t>）</w:t>
      </w:r>
      <w:r>
        <w:rPr>
          <w:rFonts w:hint="eastAsia" w:ascii="黑体" w:hAnsi="黑体" w:eastAsia="黑体" w:cs="黑体"/>
          <w:b/>
          <w:bCs/>
          <w:sz w:val="32"/>
          <w:szCs w:val="32"/>
          <w:highlight w:val="none"/>
          <w:lang w:val="en-US" w:eastAsia="zh-CN"/>
        </w:rPr>
        <w:t>社会保障和就业支出</w:t>
      </w:r>
      <w:r>
        <w:rPr>
          <w:rFonts w:hint="eastAsia" w:ascii="黑体" w:hAnsi="黑体" w:eastAsia="黑体" w:cs="黑体"/>
          <w:b/>
          <w:bCs/>
          <w:sz w:val="32"/>
          <w:szCs w:val="32"/>
          <w:highlight w:val="none"/>
        </w:rPr>
        <w:t>（类）</w:t>
      </w:r>
    </w:p>
    <w:p w14:paraId="49DB8924">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社会保障和就业</w:t>
      </w:r>
      <w:r>
        <w:rPr>
          <w:rFonts w:hint="eastAsia" w:ascii="仿宋" w:hAnsi="仿宋" w:eastAsia="仿宋" w:cs="仿宋"/>
          <w:sz w:val="32"/>
          <w:szCs w:val="32"/>
          <w:highlight w:val="none"/>
        </w:rPr>
        <w:t>类</w:t>
      </w:r>
      <w:r>
        <w:rPr>
          <w:rFonts w:hint="eastAsia" w:ascii="仿宋" w:hAnsi="仿宋" w:eastAsia="仿宋" w:cs="仿宋"/>
          <w:sz w:val="32"/>
          <w:szCs w:val="32"/>
          <w:highlight w:val="none"/>
          <w:lang w:val="en-US" w:eastAsia="zh-CN"/>
        </w:rPr>
        <w:t>决算</w:t>
      </w:r>
      <w:r>
        <w:rPr>
          <w:rFonts w:hint="eastAsia" w:ascii="仿宋" w:hAnsi="仿宋" w:eastAsia="仿宋" w:cs="仿宋"/>
          <w:sz w:val="32"/>
          <w:szCs w:val="32"/>
          <w:highlight w:val="none"/>
        </w:rPr>
        <w:t>数为</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160.36</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万元，与</w:t>
      </w:r>
      <w:r>
        <w:rPr>
          <w:rFonts w:hint="eastAsia" w:ascii="仿宋" w:hAnsi="仿宋" w:eastAsia="仿宋" w:cs="仿宋"/>
          <w:sz w:val="32"/>
          <w:szCs w:val="32"/>
          <w:highlight w:val="none"/>
          <w:lang w:val="en-US" w:eastAsia="zh-CN"/>
        </w:rPr>
        <w:t>年初预算</w:t>
      </w:r>
      <w:r>
        <w:rPr>
          <w:rFonts w:hint="eastAsia" w:ascii="仿宋" w:hAnsi="仿宋" w:eastAsia="仿宋" w:cs="仿宋"/>
          <w:sz w:val="32"/>
          <w:szCs w:val="32"/>
          <w:highlight w:val="none"/>
        </w:rPr>
        <w:t>相比减少</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4.52</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万元。其中：</w:t>
      </w:r>
    </w:p>
    <w:p w14:paraId="3E2DC91D">
      <w:pPr>
        <w:pStyle w:val="6"/>
        <w:numPr>
          <w:ilvl w:val="0"/>
          <w:numId w:val="2"/>
        </w:numPr>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行政事业单位养老支出</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val="en-US" w:eastAsia="zh-CN"/>
        </w:rPr>
        <w:t>行政单位离退休</w:t>
      </w:r>
      <w:r>
        <w:rPr>
          <w:rFonts w:hint="eastAsia" w:ascii="仿宋" w:hAnsi="仿宋" w:eastAsia="仿宋" w:cs="仿宋"/>
          <w:sz w:val="32"/>
          <w:szCs w:val="32"/>
          <w:highlight w:val="none"/>
        </w:rPr>
        <w:t>（项）。年初预算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120.45</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万元，支出决算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87.21</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万元，完成年初预算的</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72.40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。决算数与年初预算数的差异原因：</w:t>
      </w:r>
      <w:r>
        <w:rPr>
          <w:rFonts w:hint="eastAsia" w:ascii="仿宋" w:hAnsi="仿宋" w:eastAsia="仿宋" w:cs="仿宋"/>
          <w:sz w:val="32"/>
          <w:szCs w:val="32"/>
          <w:highlight w:val="none"/>
          <w:lang w:val="en-US" w:eastAsia="zh-CN"/>
        </w:rPr>
        <w:t>2025年4月开始取消离退休人员交通补和通讯补贴</w:t>
      </w:r>
      <w:r>
        <w:rPr>
          <w:rFonts w:hint="eastAsia" w:ascii="仿宋" w:hAnsi="仿宋" w:eastAsia="仿宋" w:cs="仿宋"/>
          <w:sz w:val="32"/>
          <w:szCs w:val="32"/>
          <w:highlight w:val="none"/>
        </w:rPr>
        <w:t>。</w:t>
      </w:r>
    </w:p>
    <w:p w14:paraId="6DD02D41">
      <w:pPr>
        <w:pStyle w:val="6"/>
        <w:numPr>
          <w:ilvl w:val="0"/>
          <w:numId w:val="2"/>
        </w:numPr>
        <w:spacing w:after="0" w:line="560" w:lineRule="exact"/>
        <w:ind w:left="0" w:leftChars="0"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行政事业单位养老支出</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val="en-US" w:eastAsia="zh-CN"/>
        </w:rPr>
        <w:t>机关事业单位基本养老保险缴费支出</w:t>
      </w:r>
      <w:r>
        <w:rPr>
          <w:rFonts w:hint="eastAsia" w:ascii="仿宋" w:hAnsi="仿宋" w:eastAsia="仿宋" w:cs="仿宋"/>
          <w:sz w:val="32"/>
          <w:szCs w:val="32"/>
          <w:highlight w:val="none"/>
        </w:rPr>
        <w:t>（项）。年初预算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43.64</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万元，支出决算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44.33</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万元，完成年初预算的</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102</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。决算数与年初预算数的差异原因：</w:t>
      </w:r>
      <w:r>
        <w:rPr>
          <w:rFonts w:hint="eastAsia" w:ascii="仿宋" w:hAnsi="仿宋" w:eastAsia="仿宋" w:cs="仿宋"/>
          <w:sz w:val="32"/>
          <w:szCs w:val="32"/>
          <w:highlight w:val="none"/>
          <w:lang w:val="en-US" w:eastAsia="zh-CN"/>
        </w:rPr>
        <w:t>养老保险调整基数</w:t>
      </w:r>
      <w:r>
        <w:rPr>
          <w:rFonts w:hint="eastAsia" w:ascii="仿宋" w:hAnsi="仿宋" w:eastAsia="仿宋" w:cs="仿宋"/>
          <w:sz w:val="32"/>
          <w:szCs w:val="32"/>
          <w:highlight w:val="none"/>
        </w:rPr>
        <w:t>。</w:t>
      </w:r>
    </w:p>
    <w:p w14:paraId="2F6FC88A">
      <w:pPr>
        <w:pStyle w:val="6"/>
        <w:numPr>
          <w:ilvl w:val="0"/>
          <w:numId w:val="2"/>
        </w:numPr>
        <w:spacing w:after="0" w:line="560" w:lineRule="exact"/>
        <w:ind w:left="0" w:leftChars="0"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行政事业单位养老支出</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val="en-US" w:eastAsia="zh-CN"/>
        </w:rPr>
        <w:t>机关事业单位职业年金缴费支出</w:t>
      </w:r>
      <w:r>
        <w:rPr>
          <w:rFonts w:hint="eastAsia" w:ascii="仿宋" w:hAnsi="仿宋" w:eastAsia="仿宋" w:cs="仿宋"/>
          <w:sz w:val="32"/>
          <w:szCs w:val="32"/>
          <w:highlight w:val="none"/>
        </w:rPr>
        <w:t>（项）。年初预算</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万元，支出决算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6.14</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万元。决算数与年初预算数的差异原因：</w:t>
      </w:r>
      <w:r>
        <w:rPr>
          <w:rFonts w:hint="eastAsia" w:ascii="仿宋" w:hAnsi="仿宋" w:eastAsia="仿宋" w:cs="仿宋"/>
          <w:sz w:val="32"/>
          <w:szCs w:val="32"/>
          <w:highlight w:val="none"/>
          <w:lang w:val="en-US" w:eastAsia="zh-CN"/>
        </w:rPr>
        <w:t>1名在职转退休人员财政拨入职业年金做实缴费金额</w:t>
      </w:r>
      <w:r>
        <w:rPr>
          <w:rFonts w:hint="eastAsia" w:ascii="仿宋" w:hAnsi="仿宋" w:eastAsia="仿宋" w:cs="仿宋"/>
          <w:sz w:val="32"/>
          <w:szCs w:val="32"/>
          <w:highlight w:val="none"/>
        </w:rPr>
        <w:t>。</w:t>
      </w:r>
    </w:p>
    <w:p w14:paraId="37941E22">
      <w:pPr>
        <w:pStyle w:val="6"/>
        <w:numPr>
          <w:ilvl w:val="0"/>
          <w:numId w:val="2"/>
        </w:numPr>
        <w:spacing w:after="0" w:line="560" w:lineRule="exact"/>
        <w:ind w:left="0" w:leftChars="0"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抚恤</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val="en-US" w:eastAsia="zh-CN"/>
        </w:rPr>
        <w:t>死亡抚恤</w:t>
      </w:r>
      <w:r>
        <w:rPr>
          <w:rFonts w:hint="eastAsia" w:ascii="仿宋" w:hAnsi="仿宋" w:eastAsia="仿宋" w:cs="仿宋"/>
          <w:sz w:val="32"/>
          <w:szCs w:val="32"/>
          <w:highlight w:val="none"/>
        </w:rPr>
        <w:t>（项）。年初预算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万元，支出决算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21.88</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万元。决算数与年初预算数的差异原因：</w:t>
      </w:r>
      <w:r>
        <w:rPr>
          <w:rFonts w:hint="eastAsia" w:ascii="仿宋" w:hAnsi="仿宋" w:eastAsia="仿宋" w:cs="仿宋"/>
          <w:sz w:val="32"/>
          <w:szCs w:val="32"/>
          <w:highlight w:val="none"/>
          <w:lang w:val="en-US" w:eastAsia="zh-CN"/>
        </w:rPr>
        <w:t>有两名退休人员去世，财政追加死亡抚恤金</w:t>
      </w:r>
      <w:r>
        <w:rPr>
          <w:rFonts w:hint="eastAsia" w:ascii="仿宋" w:hAnsi="仿宋" w:eastAsia="仿宋" w:cs="仿宋"/>
          <w:sz w:val="32"/>
          <w:szCs w:val="32"/>
          <w:highlight w:val="none"/>
        </w:rPr>
        <w:t>。</w:t>
      </w:r>
    </w:p>
    <w:p w14:paraId="3DFDCF3B">
      <w:pPr>
        <w:pStyle w:val="6"/>
        <w:numPr>
          <w:ilvl w:val="0"/>
          <w:numId w:val="2"/>
        </w:numPr>
        <w:spacing w:after="0" w:line="560" w:lineRule="exact"/>
        <w:ind w:left="0" w:leftChars="0"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其他社会保障和就业支出</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val="en-US" w:eastAsia="zh-CN"/>
        </w:rPr>
        <w:t>其他社会保障和就业支出</w:t>
      </w:r>
      <w:r>
        <w:rPr>
          <w:rFonts w:hint="eastAsia" w:ascii="仿宋" w:hAnsi="仿宋" w:eastAsia="仿宋" w:cs="仿宋"/>
          <w:sz w:val="32"/>
          <w:szCs w:val="32"/>
          <w:highlight w:val="none"/>
        </w:rPr>
        <w:t>（项）。年初预算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0.79</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万元，支出决算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0.79</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万元，完成年初预算的</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100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。决算数与年初预算数的差异原因：</w:t>
      </w:r>
      <w:r>
        <w:rPr>
          <w:rFonts w:hint="eastAsia" w:ascii="仿宋" w:hAnsi="仿宋" w:eastAsia="仿宋" w:cs="仿宋"/>
          <w:sz w:val="32"/>
          <w:szCs w:val="32"/>
          <w:highlight w:val="none"/>
          <w:lang w:val="en-US" w:eastAsia="zh-CN"/>
        </w:rPr>
        <w:t>无差异</w:t>
      </w:r>
      <w:r>
        <w:rPr>
          <w:rFonts w:hint="eastAsia" w:ascii="仿宋" w:hAnsi="仿宋" w:eastAsia="仿宋" w:cs="仿宋"/>
          <w:sz w:val="32"/>
          <w:szCs w:val="32"/>
          <w:highlight w:val="none"/>
        </w:rPr>
        <w:t>。</w:t>
      </w:r>
    </w:p>
    <w:p w14:paraId="600E273E">
      <w:pPr>
        <w:pStyle w:val="6"/>
        <w:tabs>
          <w:tab w:val="left" w:pos="4275"/>
        </w:tabs>
        <w:spacing w:after="0" w:line="560" w:lineRule="exact"/>
        <w:ind w:firstLine="643" w:firstLineChars="20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w:t>
      </w:r>
      <w:r>
        <w:rPr>
          <w:rFonts w:hint="eastAsia" w:ascii="黑体" w:hAnsi="黑体" w:eastAsia="黑体" w:cs="黑体"/>
          <w:b/>
          <w:bCs/>
          <w:sz w:val="32"/>
          <w:szCs w:val="32"/>
          <w:highlight w:val="none"/>
          <w:lang w:val="en-US" w:eastAsia="zh-CN"/>
        </w:rPr>
        <w:t>四</w:t>
      </w:r>
      <w:r>
        <w:rPr>
          <w:rFonts w:hint="eastAsia" w:ascii="黑体" w:hAnsi="黑体" w:eastAsia="黑体" w:cs="黑体"/>
          <w:b/>
          <w:bCs/>
          <w:sz w:val="32"/>
          <w:szCs w:val="32"/>
          <w:highlight w:val="none"/>
        </w:rPr>
        <w:t>）</w:t>
      </w:r>
      <w:r>
        <w:rPr>
          <w:rFonts w:hint="eastAsia" w:ascii="黑体" w:hAnsi="黑体" w:eastAsia="黑体" w:cs="黑体"/>
          <w:b/>
          <w:bCs/>
          <w:sz w:val="32"/>
          <w:szCs w:val="32"/>
          <w:highlight w:val="none"/>
          <w:lang w:val="en-US" w:eastAsia="zh-CN"/>
        </w:rPr>
        <w:t>卫生健康支出</w:t>
      </w:r>
      <w:r>
        <w:rPr>
          <w:rFonts w:hint="eastAsia" w:ascii="黑体" w:hAnsi="黑体" w:eastAsia="黑体" w:cs="黑体"/>
          <w:b/>
          <w:bCs/>
          <w:sz w:val="32"/>
          <w:szCs w:val="32"/>
          <w:highlight w:val="none"/>
        </w:rPr>
        <w:t>（类）</w:t>
      </w:r>
    </w:p>
    <w:p w14:paraId="641A398E">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卫生和健康支出</w:t>
      </w:r>
      <w:r>
        <w:rPr>
          <w:rFonts w:hint="eastAsia" w:ascii="仿宋" w:hAnsi="仿宋" w:eastAsia="仿宋" w:cs="仿宋"/>
          <w:sz w:val="32"/>
          <w:szCs w:val="32"/>
          <w:highlight w:val="none"/>
        </w:rPr>
        <w:t>类</w:t>
      </w:r>
      <w:r>
        <w:rPr>
          <w:rFonts w:hint="eastAsia" w:ascii="仿宋" w:hAnsi="仿宋" w:eastAsia="仿宋" w:cs="仿宋"/>
          <w:sz w:val="32"/>
          <w:szCs w:val="32"/>
          <w:highlight w:val="none"/>
          <w:lang w:val="en-US" w:eastAsia="zh-CN"/>
        </w:rPr>
        <w:t>决算</w:t>
      </w:r>
      <w:r>
        <w:rPr>
          <w:rFonts w:hint="eastAsia" w:ascii="仿宋" w:hAnsi="仿宋" w:eastAsia="仿宋" w:cs="仿宋"/>
          <w:sz w:val="32"/>
          <w:szCs w:val="32"/>
          <w:highlight w:val="none"/>
        </w:rPr>
        <w:t>数为</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43.62</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万元，与</w:t>
      </w:r>
      <w:r>
        <w:rPr>
          <w:rFonts w:hint="eastAsia" w:ascii="仿宋" w:hAnsi="仿宋" w:eastAsia="仿宋" w:cs="仿宋"/>
          <w:sz w:val="32"/>
          <w:szCs w:val="32"/>
          <w:highlight w:val="none"/>
          <w:lang w:val="en-US" w:eastAsia="zh-CN"/>
        </w:rPr>
        <w:t>年初预算</w:t>
      </w:r>
      <w:r>
        <w:rPr>
          <w:rFonts w:hint="eastAsia" w:ascii="仿宋" w:hAnsi="仿宋" w:eastAsia="仿宋" w:cs="仿宋"/>
          <w:sz w:val="32"/>
          <w:szCs w:val="32"/>
          <w:highlight w:val="none"/>
        </w:rPr>
        <w:t>相比减少</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万元。其中：</w:t>
      </w:r>
    </w:p>
    <w:p w14:paraId="4E58F4CB">
      <w:pPr>
        <w:pStyle w:val="6"/>
        <w:numPr>
          <w:ilvl w:val="0"/>
          <w:numId w:val="0"/>
        </w:numPr>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1.行政事业单位医疗</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val="en-US" w:eastAsia="zh-CN"/>
        </w:rPr>
        <w:t>行政单位医疗</w:t>
      </w:r>
      <w:r>
        <w:rPr>
          <w:rFonts w:hint="eastAsia" w:ascii="仿宋" w:hAnsi="仿宋" w:eastAsia="仿宋" w:cs="仿宋"/>
          <w:sz w:val="32"/>
          <w:szCs w:val="32"/>
          <w:highlight w:val="none"/>
        </w:rPr>
        <w:t>（项）。年初预算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24.79</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万元，支出决算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24.79</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万元，完成年初预算的</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100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。决算数与年初预算数的差异原因：</w:t>
      </w:r>
      <w:r>
        <w:rPr>
          <w:rFonts w:hint="eastAsia" w:ascii="仿宋" w:hAnsi="仿宋" w:eastAsia="仿宋" w:cs="仿宋"/>
          <w:sz w:val="32"/>
          <w:szCs w:val="32"/>
          <w:highlight w:val="none"/>
          <w:lang w:val="en-US" w:eastAsia="zh-CN"/>
        </w:rPr>
        <w:t>无差异</w:t>
      </w:r>
      <w:r>
        <w:rPr>
          <w:rFonts w:hint="eastAsia" w:ascii="仿宋" w:hAnsi="仿宋" w:eastAsia="仿宋" w:cs="仿宋"/>
          <w:sz w:val="32"/>
          <w:szCs w:val="32"/>
          <w:highlight w:val="none"/>
        </w:rPr>
        <w:t>。</w:t>
      </w:r>
    </w:p>
    <w:p w14:paraId="2C1EC442">
      <w:pPr>
        <w:pStyle w:val="6"/>
        <w:numPr>
          <w:ilvl w:val="0"/>
          <w:numId w:val="0"/>
        </w:numPr>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2.行政事业单位医疗</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val="en-US" w:eastAsia="zh-CN"/>
        </w:rPr>
        <w:t>公务员医疗补助</w:t>
      </w:r>
      <w:r>
        <w:rPr>
          <w:rFonts w:hint="eastAsia" w:ascii="仿宋" w:hAnsi="仿宋" w:eastAsia="仿宋" w:cs="仿宋"/>
          <w:sz w:val="32"/>
          <w:szCs w:val="32"/>
          <w:highlight w:val="none"/>
        </w:rPr>
        <w:t>（项）。年初预算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18.83</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万元，支出决算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18.83</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万元，完成年初预算的</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100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。决算数与年初预算数的差异原因：</w:t>
      </w:r>
      <w:r>
        <w:rPr>
          <w:rFonts w:hint="eastAsia" w:ascii="仿宋" w:hAnsi="仿宋" w:eastAsia="仿宋" w:cs="仿宋"/>
          <w:sz w:val="32"/>
          <w:szCs w:val="32"/>
          <w:highlight w:val="none"/>
          <w:lang w:val="en-US" w:eastAsia="zh-CN"/>
        </w:rPr>
        <w:t>无差异</w:t>
      </w:r>
      <w:r>
        <w:rPr>
          <w:rFonts w:hint="eastAsia" w:ascii="仿宋" w:hAnsi="仿宋" w:eastAsia="仿宋" w:cs="仿宋"/>
          <w:sz w:val="32"/>
          <w:szCs w:val="32"/>
          <w:highlight w:val="none"/>
        </w:rPr>
        <w:t>。</w:t>
      </w:r>
    </w:p>
    <w:p w14:paraId="66618461">
      <w:pPr>
        <w:pStyle w:val="6"/>
        <w:tabs>
          <w:tab w:val="left" w:pos="4275"/>
        </w:tabs>
        <w:spacing w:after="0" w:line="560" w:lineRule="exact"/>
        <w:ind w:firstLine="643" w:firstLineChars="20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w:t>
      </w:r>
      <w:r>
        <w:rPr>
          <w:rFonts w:hint="eastAsia" w:ascii="黑体" w:hAnsi="黑体" w:eastAsia="黑体" w:cs="黑体"/>
          <w:b/>
          <w:bCs/>
          <w:sz w:val="32"/>
          <w:szCs w:val="32"/>
          <w:highlight w:val="none"/>
          <w:lang w:val="en-US" w:eastAsia="zh-CN"/>
        </w:rPr>
        <w:t>五</w:t>
      </w:r>
      <w:r>
        <w:rPr>
          <w:rFonts w:hint="eastAsia" w:ascii="黑体" w:hAnsi="黑体" w:eastAsia="黑体" w:cs="黑体"/>
          <w:b/>
          <w:bCs/>
          <w:sz w:val="32"/>
          <w:szCs w:val="32"/>
          <w:highlight w:val="none"/>
        </w:rPr>
        <w:t>）</w:t>
      </w:r>
      <w:r>
        <w:rPr>
          <w:rFonts w:hint="eastAsia" w:ascii="黑体" w:hAnsi="黑体" w:eastAsia="黑体" w:cs="黑体"/>
          <w:b/>
          <w:bCs/>
          <w:sz w:val="32"/>
          <w:szCs w:val="32"/>
          <w:highlight w:val="none"/>
          <w:lang w:val="en-US" w:eastAsia="zh-CN"/>
        </w:rPr>
        <w:t>城乡社区支出</w:t>
      </w:r>
      <w:r>
        <w:rPr>
          <w:rFonts w:hint="eastAsia" w:ascii="黑体" w:hAnsi="黑体" w:eastAsia="黑体" w:cs="黑体"/>
          <w:b/>
          <w:bCs/>
          <w:sz w:val="32"/>
          <w:szCs w:val="32"/>
          <w:highlight w:val="none"/>
        </w:rPr>
        <w:t>（类）</w:t>
      </w:r>
    </w:p>
    <w:p w14:paraId="3E129148">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卫生和健康支出</w:t>
      </w:r>
      <w:r>
        <w:rPr>
          <w:rFonts w:hint="eastAsia" w:ascii="仿宋" w:hAnsi="仿宋" w:eastAsia="仿宋" w:cs="仿宋"/>
          <w:sz w:val="32"/>
          <w:szCs w:val="32"/>
          <w:highlight w:val="none"/>
        </w:rPr>
        <w:t>类</w:t>
      </w:r>
      <w:r>
        <w:rPr>
          <w:rFonts w:hint="eastAsia" w:ascii="仿宋" w:hAnsi="仿宋" w:eastAsia="仿宋" w:cs="仿宋"/>
          <w:sz w:val="32"/>
          <w:szCs w:val="32"/>
          <w:highlight w:val="none"/>
          <w:lang w:val="en-US" w:eastAsia="zh-CN"/>
        </w:rPr>
        <w:t>决算</w:t>
      </w:r>
      <w:r>
        <w:rPr>
          <w:rFonts w:hint="eastAsia" w:ascii="仿宋" w:hAnsi="仿宋" w:eastAsia="仿宋" w:cs="仿宋"/>
          <w:sz w:val="32"/>
          <w:szCs w:val="32"/>
          <w:highlight w:val="none"/>
        </w:rPr>
        <w:t>数为</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648.5</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万元，与</w:t>
      </w:r>
      <w:r>
        <w:rPr>
          <w:rFonts w:hint="eastAsia" w:ascii="仿宋" w:hAnsi="仿宋" w:eastAsia="仿宋" w:cs="仿宋"/>
          <w:sz w:val="32"/>
          <w:szCs w:val="32"/>
          <w:highlight w:val="none"/>
          <w:lang w:val="en-US" w:eastAsia="zh-CN"/>
        </w:rPr>
        <w:t>年初预算</w:t>
      </w:r>
      <w:r>
        <w:rPr>
          <w:rFonts w:hint="eastAsia" w:ascii="仿宋" w:hAnsi="仿宋" w:eastAsia="仿宋" w:cs="仿宋"/>
          <w:sz w:val="32"/>
          <w:szCs w:val="32"/>
          <w:highlight w:val="none"/>
        </w:rPr>
        <w:t>相比</w:t>
      </w:r>
      <w:r>
        <w:rPr>
          <w:rFonts w:hint="eastAsia" w:ascii="仿宋" w:hAnsi="仿宋" w:eastAsia="仿宋" w:cs="仿宋"/>
          <w:sz w:val="32"/>
          <w:szCs w:val="32"/>
          <w:highlight w:val="none"/>
          <w:lang w:val="en-US" w:eastAsia="zh-CN"/>
        </w:rPr>
        <w:t>增加</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122.84</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万元。其中：</w:t>
      </w:r>
    </w:p>
    <w:p w14:paraId="12CF6C0B">
      <w:pPr>
        <w:pStyle w:val="6"/>
        <w:numPr>
          <w:ilvl w:val="0"/>
          <w:numId w:val="0"/>
        </w:numPr>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1.城乡社区管理事务</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val="en-US" w:eastAsia="zh-CN"/>
        </w:rPr>
        <w:t>行政运行</w:t>
      </w:r>
      <w:r>
        <w:rPr>
          <w:rFonts w:hint="eastAsia" w:ascii="仿宋" w:hAnsi="仿宋" w:eastAsia="仿宋" w:cs="仿宋"/>
          <w:sz w:val="32"/>
          <w:szCs w:val="32"/>
          <w:highlight w:val="none"/>
        </w:rPr>
        <w:t>（项）。年初预算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439.97</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万元，支出决算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461.22</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万元，完成年初预算的</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104.83</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。决算数与年初预算数的差异原因：</w:t>
      </w:r>
      <w:r>
        <w:rPr>
          <w:rFonts w:hint="eastAsia" w:ascii="仿宋" w:hAnsi="仿宋" w:eastAsia="仿宋" w:cs="仿宋"/>
          <w:sz w:val="32"/>
          <w:szCs w:val="32"/>
          <w:highlight w:val="none"/>
          <w:lang w:val="en-US" w:eastAsia="zh-CN"/>
        </w:rPr>
        <w:t>2025年调入3名在职人员</w:t>
      </w:r>
      <w:r>
        <w:rPr>
          <w:rFonts w:hint="eastAsia" w:ascii="仿宋" w:hAnsi="仿宋" w:eastAsia="仿宋" w:cs="仿宋"/>
          <w:sz w:val="32"/>
          <w:szCs w:val="32"/>
          <w:highlight w:val="none"/>
        </w:rPr>
        <w:t>。</w:t>
      </w:r>
    </w:p>
    <w:p w14:paraId="756E8032">
      <w:pPr>
        <w:pStyle w:val="6"/>
        <w:numPr>
          <w:ilvl w:val="0"/>
          <w:numId w:val="0"/>
        </w:numPr>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2.城乡社区公共设施</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val="en-US" w:eastAsia="zh-CN"/>
        </w:rPr>
        <w:t>其他城乡社区公共设施支出</w:t>
      </w:r>
      <w:r>
        <w:rPr>
          <w:rFonts w:hint="eastAsia" w:ascii="仿宋" w:hAnsi="仿宋" w:eastAsia="仿宋" w:cs="仿宋"/>
          <w:sz w:val="32"/>
          <w:szCs w:val="32"/>
          <w:highlight w:val="none"/>
        </w:rPr>
        <w:t>（项）。年初预算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85.69</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万元，支出决算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187.28</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万元，完成年初预算的</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218.56</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。决算数与年初预算数的差异原因：</w:t>
      </w:r>
      <w:r>
        <w:rPr>
          <w:rFonts w:hint="eastAsia" w:ascii="仿宋" w:hAnsi="仿宋" w:eastAsia="仿宋" w:cs="仿宋"/>
          <w:sz w:val="32"/>
          <w:szCs w:val="32"/>
          <w:highlight w:val="none"/>
          <w:lang w:val="en-US" w:eastAsia="zh-CN"/>
        </w:rPr>
        <w:t>本年度进行了化债任务，财政追加化债资金</w:t>
      </w:r>
      <w:r>
        <w:rPr>
          <w:rFonts w:hint="eastAsia" w:ascii="仿宋" w:hAnsi="仿宋" w:eastAsia="仿宋" w:cs="仿宋"/>
          <w:sz w:val="32"/>
          <w:szCs w:val="32"/>
          <w:highlight w:val="none"/>
        </w:rPr>
        <w:t>。</w:t>
      </w:r>
    </w:p>
    <w:p w14:paraId="30E5C55B">
      <w:pPr>
        <w:pStyle w:val="6"/>
        <w:tabs>
          <w:tab w:val="left" w:pos="4275"/>
        </w:tabs>
        <w:spacing w:after="0" w:line="560" w:lineRule="exact"/>
        <w:ind w:firstLine="643" w:firstLineChars="20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w:t>
      </w:r>
      <w:r>
        <w:rPr>
          <w:rFonts w:hint="eastAsia" w:ascii="黑体" w:hAnsi="黑体" w:eastAsia="黑体" w:cs="黑体"/>
          <w:b/>
          <w:bCs/>
          <w:sz w:val="32"/>
          <w:szCs w:val="32"/>
          <w:highlight w:val="none"/>
          <w:lang w:val="en-US" w:eastAsia="zh-CN"/>
        </w:rPr>
        <w:t>六</w:t>
      </w:r>
      <w:r>
        <w:rPr>
          <w:rFonts w:hint="eastAsia" w:ascii="黑体" w:hAnsi="黑体" w:eastAsia="黑体" w:cs="黑体"/>
          <w:b/>
          <w:bCs/>
          <w:sz w:val="32"/>
          <w:szCs w:val="32"/>
          <w:highlight w:val="none"/>
        </w:rPr>
        <w:t>）</w:t>
      </w:r>
      <w:r>
        <w:rPr>
          <w:rFonts w:hint="eastAsia" w:ascii="黑体" w:hAnsi="黑体" w:eastAsia="黑体" w:cs="黑体"/>
          <w:b/>
          <w:bCs/>
          <w:sz w:val="32"/>
          <w:szCs w:val="32"/>
          <w:highlight w:val="none"/>
          <w:lang w:val="en-US" w:eastAsia="zh-CN"/>
        </w:rPr>
        <w:t>住房保障支出</w:t>
      </w:r>
      <w:r>
        <w:rPr>
          <w:rFonts w:hint="eastAsia" w:ascii="黑体" w:hAnsi="黑体" w:eastAsia="黑体" w:cs="黑体"/>
          <w:b/>
          <w:bCs/>
          <w:sz w:val="32"/>
          <w:szCs w:val="32"/>
          <w:highlight w:val="none"/>
        </w:rPr>
        <w:t>（类）</w:t>
      </w:r>
    </w:p>
    <w:p w14:paraId="36B714AD">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住房保障支出</w:t>
      </w:r>
      <w:r>
        <w:rPr>
          <w:rFonts w:hint="eastAsia" w:ascii="仿宋" w:hAnsi="仿宋" w:eastAsia="仿宋" w:cs="仿宋"/>
          <w:sz w:val="32"/>
          <w:szCs w:val="32"/>
          <w:highlight w:val="none"/>
        </w:rPr>
        <w:t>类</w:t>
      </w:r>
      <w:r>
        <w:rPr>
          <w:rFonts w:hint="eastAsia" w:ascii="仿宋" w:hAnsi="仿宋" w:eastAsia="仿宋" w:cs="仿宋"/>
          <w:sz w:val="32"/>
          <w:szCs w:val="32"/>
          <w:highlight w:val="none"/>
          <w:lang w:val="en-US" w:eastAsia="zh-CN"/>
        </w:rPr>
        <w:t>决算</w:t>
      </w:r>
      <w:r>
        <w:rPr>
          <w:rFonts w:hint="eastAsia" w:ascii="仿宋" w:hAnsi="仿宋" w:eastAsia="仿宋" w:cs="仿宋"/>
          <w:sz w:val="32"/>
          <w:szCs w:val="32"/>
          <w:highlight w:val="none"/>
        </w:rPr>
        <w:t>数为</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46.91</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万元，与</w:t>
      </w:r>
      <w:r>
        <w:rPr>
          <w:rFonts w:hint="eastAsia" w:ascii="仿宋" w:hAnsi="仿宋" w:eastAsia="仿宋" w:cs="仿宋"/>
          <w:sz w:val="32"/>
          <w:szCs w:val="32"/>
          <w:highlight w:val="none"/>
          <w:lang w:val="en-US" w:eastAsia="zh-CN"/>
        </w:rPr>
        <w:t>年初预算</w:t>
      </w:r>
      <w:r>
        <w:rPr>
          <w:rFonts w:hint="eastAsia" w:ascii="仿宋" w:hAnsi="仿宋" w:eastAsia="仿宋" w:cs="仿宋"/>
          <w:sz w:val="32"/>
          <w:szCs w:val="32"/>
          <w:highlight w:val="none"/>
        </w:rPr>
        <w:t>相比</w:t>
      </w:r>
      <w:r>
        <w:rPr>
          <w:rFonts w:hint="eastAsia" w:ascii="仿宋" w:hAnsi="仿宋" w:eastAsia="仿宋" w:cs="仿宋"/>
          <w:sz w:val="32"/>
          <w:szCs w:val="32"/>
          <w:highlight w:val="none"/>
          <w:lang w:val="en-US" w:eastAsia="zh-CN"/>
        </w:rPr>
        <w:t>增加</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万元。其中：</w:t>
      </w:r>
    </w:p>
    <w:p w14:paraId="7558B47D">
      <w:pPr>
        <w:pStyle w:val="6"/>
        <w:numPr>
          <w:ilvl w:val="0"/>
          <w:numId w:val="0"/>
        </w:numPr>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1.住房改革支出</w:t>
      </w:r>
      <w:r>
        <w:rPr>
          <w:rFonts w:hint="eastAsia" w:ascii="仿宋" w:hAnsi="仿宋" w:eastAsia="仿宋" w:cs="仿宋"/>
          <w:sz w:val="32"/>
          <w:szCs w:val="32"/>
          <w:highlight w:val="none"/>
        </w:rPr>
        <w:t>（款）</w:t>
      </w:r>
      <w:r>
        <w:rPr>
          <w:rFonts w:hint="eastAsia" w:ascii="仿宋" w:hAnsi="仿宋" w:eastAsia="仿宋" w:cs="仿宋"/>
          <w:sz w:val="32"/>
          <w:szCs w:val="32"/>
          <w:highlight w:val="none"/>
          <w:lang w:val="en-US" w:eastAsia="zh-CN"/>
        </w:rPr>
        <w:t>住房公积金</w:t>
      </w:r>
      <w:r>
        <w:rPr>
          <w:rFonts w:hint="eastAsia" w:ascii="仿宋" w:hAnsi="仿宋" w:eastAsia="仿宋" w:cs="仿宋"/>
          <w:sz w:val="32"/>
          <w:szCs w:val="32"/>
          <w:highlight w:val="none"/>
        </w:rPr>
        <w:t>（项）。年初预算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46.91</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万元，支出决算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46.91</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万元，完成年初预算的</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100</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。决算数与年初预算数的差异原因：</w:t>
      </w:r>
      <w:r>
        <w:rPr>
          <w:rFonts w:hint="eastAsia" w:ascii="仿宋" w:hAnsi="仿宋" w:eastAsia="仿宋" w:cs="仿宋"/>
          <w:sz w:val="32"/>
          <w:szCs w:val="32"/>
          <w:highlight w:val="none"/>
          <w:lang w:val="en-US" w:eastAsia="zh-CN"/>
        </w:rPr>
        <w:t>无差异</w:t>
      </w:r>
      <w:r>
        <w:rPr>
          <w:rFonts w:hint="eastAsia" w:ascii="仿宋" w:hAnsi="仿宋" w:eastAsia="仿宋" w:cs="仿宋"/>
          <w:sz w:val="32"/>
          <w:szCs w:val="32"/>
          <w:highlight w:val="none"/>
        </w:rPr>
        <w:t>。</w:t>
      </w:r>
    </w:p>
    <w:p w14:paraId="776D6351">
      <w:pPr>
        <w:spacing w:line="600" w:lineRule="exact"/>
        <w:ind w:left="0" w:leftChars="0" w:firstLine="643" w:firstLineChars="200"/>
        <w:outlineLvl w:val="2"/>
        <w:rPr>
          <w:rFonts w:hint="eastAsia" w:eastAsia="黑体" w:cs="黑体"/>
          <w:b/>
          <w:bCs/>
          <w:sz w:val="32"/>
          <w:szCs w:val="36"/>
          <w:highlight w:val="none"/>
        </w:rPr>
      </w:pPr>
    </w:p>
    <w:p w14:paraId="05F31A93">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六、一般公共预算基本支出决算情况说明</w:t>
      </w:r>
    </w:p>
    <w:p w14:paraId="3F2B5FE7">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sz w:val="32"/>
          <w:szCs w:val="32"/>
          <w:highlight w:val="none"/>
          <w:lang w:val="en-US" w:eastAsia="zh-CN"/>
        </w:rPr>
        <w:t>2025</w:t>
      </w:r>
      <w:r>
        <w:rPr>
          <w:rFonts w:hint="eastAsia" w:ascii="仿宋" w:hAnsi="仿宋" w:eastAsia="仿宋" w:cs="仿宋"/>
          <w:sz w:val="32"/>
          <w:szCs w:val="32"/>
          <w:highlight w:val="none"/>
        </w:rPr>
        <w:t>年度一般公共预算财政拨款基本支出决算</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u w:val="single"/>
          <w:lang w:val="en-US" w:eastAsia="zh-CN"/>
        </w:rPr>
        <w:t>712.11</w:t>
      </w:r>
      <w:r>
        <w:rPr>
          <w:rFonts w:hint="eastAsia" w:ascii="仿宋" w:hAnsi="仿宋" w:eastAsia="仿宋" w:cs="仿宋"/>
          <w:sz w:val="32"/>
          <w:szCs w:val="32"/>
          <w:highlight w:val="none"/>
          <w:u w:val="single"/>
        </w:rPr>
        <w:t xml:space="preserve"> </w:t>
      </w:r>
      <w:r>
        <w:rPr>
          <w:rFonts w:hint="eastAsia" w:ascii="仿宋" w:hAnsi="仿宋" w:eastAsia="仿宋" w:cs="仿宋"/>
          <w:sz w:val="32"/>
          <w:szCs w:val="32"/>
          <w:highlight w:val="none"/>
        </w:rPr>
        <w:t>万元，其中：</w:t>
      </w:r>
    </w:p>
    <w:p w14:paraId="24B87F44">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b/>
          <w:bCs/>
          <w:sz w:val="32"/>
          <w:szCs w:val="32"/>
          <w:highlight w:val="none"/>
        </w:rPr>
        <w:t>（一）人员经费</w:t>
      </w:r>
      <w:r>
        <w:rPr>
          <w:rFonts w:hint="eastAsia" w:ascii="仿宋" w:hAnsi="仿宋" w:eastAsia="仿宋" w:cs="仿宋"/>
          <w:b/>
          <w:bCs/>
          <w:sz w:val="32"/>
          <w:szCs w:val="32"/>
          <w:highlight w:val="none"/>
          <w:u w:val="single"/>
        </w:rPr>
        <w:t xml:space="preserve"> </w:t>
      </w:r>
      <w:r>
        <w:rPr>
          <w:rFonts w:hint="eastAsia" w:ascii="仿宋" w:hAnsi="仿宋" w:eastAsia="仿宋" w:cs="仿宋"/>
          <w:b/>
          <w:bCs/>
          <w:sz w:val="32"/>
          <w:szCs w:val="32"/>
          <w:highlight w:val="none"/>
          <w:u w:val="single"/>
          <w:lang w:val="en-US" w:eastAsia="zh-CN"/>
        </w:rPr>
        <w:t>641.82</w:t>
      </w:r>
      <w:r>
        <w:rPr>
          <w:rFonts w:hint="eastAsia" w:ascii="仿宋" w:hAnsi="仿宋" w:eastAsia="仿宋" w:cs="仿宋"/>
          <w:b/>
          <w:bCs/>
          <w:sz w:val="32"/>
          <w:szCs w:val="32"/>
          <w:highlight w:val="none"/>
          <w:u w:val="single"/>
        </w:rPr>
        <w:t xml:space="preserve"> </w:t>
      </w:r>
      <w:r>
        <w:rPr>
          <w:rFonts w:hint="eastAsia" w:ascii="仿宋" w:hAnsi="仿宋" w:eastAsia="仿宋" w:cs="仿宋"/>
          <w:b/>
          <w:bCs/>
          <w:sz w:val="32"/>
          <w:szCs w:val="32"/>
          <w:highlight w:val="none"/>
        </w:rPr>
        <w:t>万元</w:t>
      </w:r>
      <w:r>
        <w:rPr>
          <w:rFonts w:hint="eastAsia" w:ascii="仿宋" w:hAnsi="仿宋" w:eastAsia="仿宋" w:cs="仿宋"/>
          <w:sz w:val="32"/>
          <w:szCs w:val="32"/>
          <w:highlight w:val="none"/>
        </w:rPr>
        <w:t>。主要包括：基本工资</w:t>
      </w:r>
      <w:r>
        <w:rPr>
          <w:rFonts w:hint="eastAsia" w:ascii="仿宋" w:hAnsi="仿宋" w:eastAsia="仿宋" w:cs="仿宋"/>
          <w:sz w:val="32"/>
          <w:szCs w:val="32"/>
          <w:highlight w:val="none"/>
          <w:lang w:val="en-US" w:eastAsia="zh-CN"/>
        </w:rPr>
        <w:t>166.36万元</w:t>
      </w:r>
      <w:r>
        <w:rPr>
          <w:rFonts w:hint="eastAsia" w:ascii="仿宋" w:hAnsi="仿宋" w:eastAsia="仿宋" w:cs="仿宋"/>
          <w:sz w:val="32"/>
          <w:szCs w:val="32"/>
          <w:highlight w:val="none"/>
        </w:rPr>
        <w:t>、津贴补贴</w:t>
      </w:r>
      <w:r>
        <w:rPr>
          <w:rFonts w:hint="eastAsia" w:ascii="仿宋" w:hAnsi="仿宋" w:eastAsia="仿宋" w:cs="仿宋"/>
          <w:sz w:val="32"/>
          <w:szCs w:val="32"/>
          <w:highlight w:val="none"/>
          <w:lang w:val="en-US" w:eastAsia="zh-CN"/>
        </w:rPr>
        <w:t>146.29万元</w:t>
      </w:r>
      <w:r>
        <w:rPr>
          <w:rFonts w:hint="eastAsia" w:ascii="仿宋" w:hAnsi="仿宋" w:eastAsia="仿宋" w:cs="仿宋"/>
          <w:sz w:val="32"/>
          <w:szCs w:val="32"/>
          <w:highlight w:val="none"/>
        </w:rPr>
        <w:t>、奖金</w:t>
      </w:r>
      <w:r>
        <w:rPr>
          <w:rFonts w:hint="eastAsia" w:ascii="仿宋" w:hAnsi="仿宋" w:eastAsia="仿宋" w:cs="仿宋"/>
          <w:sz w:val="32"/>
          <w:szCs w:val="32"/>
          <w:highlight w:val="none"/>
          <w:lang w:val="en-US" w:eastAsia="zh-CN"/>
        </w:rPr>
        <w:t>25.71万元</w:t>
      </w:r>
      <w:r>
        <w:rPr>
          <w:rFonts w:hint="eastAsia" w:ascii="仿宋" w:hAnsi="仿宋" w:eastAsia="仿宋" w:cs="仿宋"/>
          <w:sz w:val="32"/>
          <w:szCs w:val="32"/>
          <w:highlight w:val="none"/>
        </w:rPr>
        <w:t>、</w:t>
      </w:r>
      <w:r>
        <w:rPr>
          <w:rFonts w:hint="eastAsia" w:ascii="仿宋" w:hAnsi="仿宋" w:eastAsia="仿宋" w:cs="仿宋"/>
          <w:sz w:val="32"/>
          <w:szCs w:val="32"/>
          <w:highlight w:val="none"/>
          <w:lang w:val="en-US" w:eastAsia="zh-CN"/>
        </w:rPr>
        <w:t>机关事业单位基本养老保险缴费44.33万元</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职业年金缴费6.14万元、职工基本医疗保险缴费24.79万元、公务员医疗补助缴费18.83万元、其他社会保障缴费0.79万元、住房公积金46.91万元、其他工资福利支出47.32万元、离休费19.45万元、退休费67.75万元、抚恤金21.88万元、生活补助5.27万元</w:t>
      </w:r>
      <w:r>
        <w:rPr>
          <w:rFonts w:hint="eastAsia" w:ascii="仿宋" w:hAnsi="仿宋" w:eastAsia="仿宋" w:cs="仿宋"/>
          <w:sz w:val="32"/>
          <w:szCs w:val="32"/>
          <w:highlight w:val="none"/>
        </w:rPr>
        <w:t>。</w:t>
      </w:r>
    </w:p>
    <w:p w14:paraId="28DA4C20">
      <w:pPr>
        <w:pStyle w:val="6"/>
        <w:spacing w:after="0" w:line="560" w:lineRule="exact"/>
        <w:ind w:firstLine="640" w:firstLineChars="200"/>
        <w:rPr>
          <w:rFonts w:hint="eastAsia" w:ascii="仿宋" w:hAnsi="仿宋" w:eastAsia="仿宋" w:cs="仿宋"/>
          <w:sz w:val="32"/>
          <w:szCs w:val="32"/>
          <w:highlight w:val="none"/>
        </w:rPr>
      </w:pPr>
      <w:r>
        <w:rPr>
          <w:rFonts w:hint="eastAsia" w:ascii="仿宋" w:hAnsi="仿宋" w:eastAsia="仿宋" w:cs="仿宋"/>
          <w:b/>
          <w:bCs/>
          <w:sz w:val="32"/>
          <w:szCs w:val="32"/>
          <w:highlight w:val="none"/>
        </w:rPr>
        <w:t>（二）公用经费</w:t>
      </w:r>
      <w:r>
        <w:rPr>
          <w:rFonts w:hint="eastAsia" w:ascii="仿宋" w:hAnsi="仿宋" w:eastAsia="仿宋" w:cs="仿宋"/>
          <w:b/>
          <w:bCs/>
          <w:sz w:val="32"/>
          <w:szCs w:val="32"/>
          <w:highlight w:val="none"/>
          <w:u w:val="single"/>
        </w:rPr>
        <w:t xml:space="preserve">  </w:t>
      </w:r>
      <w:r>
        <w:rPr>
          <w:rFonts w:hint="eastAsia" w:ascii="仿宋" w:hAnsi="仿宋" w:eastAsia="仿宋" w:cs="仿宋"/>
          <w:b/>
          <w:bCs/>
          <w:sz w:val="32"/>
          <w:szCs w:val="32"/>
          <w:highlight w:val="none"/>
          <w:u w:val="single"/>
          <w:lang w:val="en-US" w:eastAsia="zh-CN"/>
        </w:rPr>
        <w:t>70.29</w:t>
      </w:r>
      <w:r>
        <w:rPr>
          <w:rFonts w:hint="eastAsia" w:ascii="仿宋" w:hAnsi="仿宋" w:eastAsia="仿宋" w:cs="仿宋"/>
          <w:b/>
          <w:bCs/>
          <w:sz w:val="32"/>
          <w:szCs w:val="32"/>
          <w:highlight w:val="none"/>
          <w:u w:val="single"/>
        </w:rPr>
        <w:t xml:space="preserve"> </w:t>
      </w:r>
      <w:r>
        <w:rPr>
          <w:rFonts w:hint="eastAsia" w:ascii="仿宋" w:hAnsi="仿宋" w:eastAsia="仿宋" w:cs="仿宋"/>
          <w:b/>
          <w:bCs/>
          <w:sz w:val="32"/>
          <w:szCs w:val="32"/>
          <w:highlight w:val="none"/>
        </w:rPr>
        <w:t>万元</w:t>
      </w:r>
      <w:r>
        <w:rPr>
          <w:rFonts w:hint="eastAsia" w:ascii="仿宋" w:hAnsi="仿宋" w:eastAsia="仿宋" w:cs="仿宋"/>
          <w:sz w:val="32"/>
          <w:szCs w:val="32"/>
          <w:highlight w:val="none"/>
        </w:rPr>
        <w:t>。主要包括：办公费</w:t>
      </w:r>
      <w:r>
        <w:rPr>
          <w:rFonts w:hint="eastAsia" w:ascii="仿宋" w:hAnsi="仿宋" w:eastAsia="仿宋" w:cs="仿宋"/>
          <w:sz w:val="32"/>
          <w:szCs w:val="32"/>
          <w:highlight w:val="none"/>
          <w:lang w:val="en-US" w:eastAsia="zh-CN"/>
        </w:rPr>
        <w:t>6.69万元</w:t>
      </w:r>
      <w:r>
        <w:rPr>
          <w:rFonts w:hint="eastAsia" w:ascii="仿宋" w:hAnsi="仿宋" w:eastAsia="仿宋" w:cs="仿宋"/>
          <w:sz w:val="32"/>
          <w:szCs w:val="32"/>
          <w:highlight w:val="none"/>
        </w:rPr>
        <w:t>、印刷费</w:t>
      </w:r>
      <w:r>
        <w:rPr>
          <w:rFonts w:hint="eastAsia" w:ascii="仿宋" w:hAnsi="仿宋" w:eastAsia="仿宋" w:cs="仿宋"/>
          <w:sz w:val="32"/>
          <w:szCs w:val="32"/>
          <w:highlight w:val="none"/>
          <w:lang w:val="en-US" w:eastAsia="zh-CN"/>
        </w:rPr>
        <w:t>0.56万元</w:t>
      </w:r>
      <w:r>
        <w:rPr>
          <w:rFonts w:hint="eastAsia" w:ascii="仿宋" w:hAnsi="仿宋" w:eastAsia="仿宋" w:cs="仿宋"/>
          <w:sz w:val="32"/>
          <w:szCs w:val="32"/>
          <w:highlight w:val="none"/>
        </w:rPr>
        <w:t>、水费</w:t>
      </w:r>
      <w:r>
        <w:rPr>
          <w:rFonts w:hint="eastAsia" w:ascii="仿宋" w:hAnsi="仿宋" w:eastAsia="仿宋" w:cs="仿宋"/>
          <w:sz w:val="32"/>
          <w:szCs w:val="32"/>
          <w:highlight w:val="none"/>
          <w:lang w:val="en-US" w:eastAsia="zh-CN"/>
        </w:rPr>
        <w:t>1.6万元</w:t>
      </w:r>
      <w:r>
        <w:rPr>
          <w:rFonts w:hint="eastAsia" w:ascii="仿宋" w:hAnsi="仿宋" w:eastAsia="仿宋" w:cs="仿宋"/>
          <w:sz w:val="32"/>
          <w:szCs w:val="32"/>
          <w:highlight w:val="none"/>
        </w:rPr>
        <w:t>、电费</w:t>
      </w:r>
      <w:r>
        <w:rPr>
          <w:rFonts w:hint="eastAsia" w:ascii="仿宋" w:hAnsi="仿宋" w:eastAsia="仿宋" w:cs="仿宋"/>
          <w:sz w:val="32"/>
          <w:szCs w:val="32"/>
          <w:highlight w:val="none"/>
          <w:lang w:val="en-US" w:eastAsia="zh-CN"/>
        </w:rPr>
        <w:t>5万元</w:t>
      </w:r>
      <w:r>
        <w:rPr>
          <w:rFonts w:hint="eastAsia" w:ascii="仿宋" w:hAnsi="仿宋" w:eastAsia="仿宋" w:cs="仿宋"/>
          <w:sz w:val="32"/>
          <w:szCs w:val="32"/>
          <w:highlight w:val="none"/>
        </w:rPr>
        <w:t>、取暖费</w:t>
      </w:r>
      <w:r>
        <w:rPr>
          <w:rFonts w:hint="eastAsia" w:ascii="仿宋" w:hAnsi="仿宋" w:eastAsia="仿宋" w:cs="仿宋"/>
          <w:sz w:val="32"/>
          <w:szCs w:val="32"/>
          <w:highlight w:val="none"/>
          <w:lang w:val="en-US" w:eastAsia="zh-CN"/>
        </w:rPr>
        <w:t>7.72万元</w:t>
      </w:r>
      <w:r>
        <w:rPr>
          <w:rFonts w:hint="eastAsia" w:ascii="仿宋" w:hAnsi="仿宋" w:eastAsia="仿宋" w:cs="仿宋"/>
          <w:sz w:val="32"/>
          <w:szCs w:val="32"/>
          <w:highlight w:val="none"/>
        </w:rPr>
        <w:t>、物业管理费</w:t>
      </w:r>
      <w:r>
        <w:rPr>
          <w:rFonts w:hint="eastAsia" w:ascii="仿宋" w:hAnsi="仿宋" w:eastAsia="仿宋" w:cs="仿宋"/>
          <w:sz w:val="32"/>
          <w:szCs w:val="32"/>
          <w:highlight w:val="none"/>
          <w:lang w:val="en-US" w:eastAsia="zh-CN"/>
        </w:rPr>
        <w:t>6.28万元</w:t>
      </w:r>
      <w:r>
        <w:rPr>
          <w:rFonts w:hint="eastAsia" w:ascii="仿宋" w:hAnsi="仿宋" w:eastAsia="仿宋" w:cs="仿宋"/>
          <w:sz w:val="32"/>
          <w:szCs w:val="32"/>
          <w:highlight w:val="none"/>
        </w:rPr>
        <w:t>、差旅费</w:t>
      </w:r>
      <w:r>
        <w:rPr>
          <w:rFonts w:hint="eastAsia" w:ascii="仿宋" w:hAnsi="仿宋" w:eastAsia="仿宋" w:cs="仿宋"/>
          <w:sz w:val="32"/>
          <w:szCs w:val="32"/>
          <w:highlight w:val="none"/>
          <w:lang w:val="en-US" w:eastAsia="zh-CN"/>
        </w:rPr>
        <w:t>2.3万元</w:t>
      </w:r>
      <w:r>
        <w:rPr>
          <w:rFonts w:hint="eastAsia" w:ascii="仿宋" w:hAnsi="仿宋" w:eastAsia="仿宋" w:cs="仿宋"/>
          <w:sz w:val="32"/>
          <w:szCs w:val="32"/>
          <w:highlight w:val="none"/>
        </w:rPr>
        <w:t>、培训费</w:t>
      </w:r>
      <w:r>
        <w:rPr>
          <w:rFonts w:hint="eastAsia" w:ascii="仿宋" w:hAnsi="仿宋" w:eastAsia="仿宋" w:cs="仿宋"/>
          <w:sz w:val="32"/>
          <w:szCs w:val="32"/>
          <w:highlight w:val="none"/>
          <w:lang w:val="en-US" w:eastAsia="zh-CN"/>
        </w:rPr>
        <w:t>0.43万元</w:t>
      </w:r>
      <w:r>
        <w:rPr>
          <w:rFonts w:hint="eastAsia" w:ascii="仿宋" w:hAnsi="仿宋" w:eastAsia="仿宋" w:cs="仿宋"/>
          <w:sz w:val="32"/>
          <w:szCs w:val="32"/>
          <w:highlight w:val="none"/>
        </w:rPr>
        <w:t>、公务接待费</w:t>
      </w:r>
      <w:r>
        <w:rPr>
          <w:rFonts w:hint="eastAsia" w:ascii="仿宋" w:hAnsi="仿宋" w:eastAsia="仿宋" w:cs="仿宋"/>
          <w:sz w:val="32"/>
          <w:szCs w:val="32"/>
          <w:highlight w:val="none"/>
          <w:lang w:val="en-US" w:eastAsia="zh-CN"/>
        </w:rPr>
        <w:t>1.65万元</w:t>
      </w:r>
      <w:r>
        <w:rPr>
          <w:rFonts w:hint="eastAsia" w:ascii="仿宋" w:hAnsi="仿宋" w:eastAsia="仿宋" w:cs="仿宋"/>
          <w:sz w:val="32"/>
          <w:szCs w:val="32"/>
          <w:highlight w:val="none"/>
        </w:rPr>
        <w:t>、工会经费</w:t>
      </w:r>
      <w:r>
        <w:rPr>
          <w:rFonts w:hint="eastAsia" w:ascii="仿宋" w:hAnsi="仿宋" w:eastAsia="仿宋" w:cs="仿宋"/>
          <w:sz w:val="32"/>
          <w:szCs w:val="32"/>
          <w:highlight w:val="none"/>
          <w:lang w:val="en-US" w:eastAsia="zh-CN"/>
        </w:rPr>
        <w:t>5.72万元</w:t>
      </w:r>
      <w:r>
        <w:rPr>
          <w:rFonts w:hint="eastAsia" w:ascii="仿宋" w:hAnsi="仿宋" w:eastAsia="仿宋" w:cs="仿宋"/>
          <w:sz w:val="32"/>
          <w:szCs w:val="32"/>
          <w:highlight w:val="none"/>
        </w:rPr>
        <w:t>、福利费</w:t>
      </w:r>
      <w:r>
        <w:rPr>
          <w:rFonts w:hint="eastAsia" w:ascii="仿宋" w:hAnsi="仿宋" w:eastAsia="仿宋" w:cs="仿宋"/>
          <w:sz w:val="32"/>
          <w:szCs w:val="32"/>
          <w:highlight w:val="none"/>
          <w:lang w:val="en-US" w:eastAsia="zh-CN"/>
        </w:rPr>
        <w:t>0.48万元</w:t>
      </w:r>
      <w:r>
        <w:rPr>
          <w:rFonts w:hint="eastAsia" w:ascii="仿宋" w:hAnsi="仿宋" w:eastAsia="仿宋" w:cs="仿宋"/>
          <w:sz w:val="32"/>
          <w:szCs w:val="32"/>
          <w:highlight w:val="none"/>
        </w:rPr>
        <w:t>、公务用车运行维护费</w:t>
      </w:r>
      <w:r>
        <w:rPr>
          <w:rFonts w:hint="eastAsia" w:ascii="仿宋" w:hAnsi="仿宋" w:eastAsia="仿宋" w:cs="仿宋"/>
          <w:sz w:val="32"/>
          <w:szCs w:val="32"/>
          <w:highlight w:val="none"/>
          <w:lang w:val="en-US" w:eastAsia="zh-CN"/>
        </w:rPr>
        <w:t>3万元</w:t>
      </w:r>
      <w:r>
        <w:rPr>
          <w:rFonts w:hint="eastAsia" w:ascii="仿宋" w:hAnsi="仿宋" w:eastAsia="仿宋" w:cs="仿宋"/>
          <w:sz w:val="32"/>
          <w:szCs w:val="32"/>
          <w:highlight w:val="none"/>
        </w:rPr>
        <w:t>、其他交通费用</w:t>
      </w:r>
      <w:r>
        <w:rPr>
          <w:rFonts w:hint="eastAsia" w:ascii="仿宋" w:hAnsi="仿宋" w:eastAsia="仿宋" w:cs="仿宋"/>
          <w:sz w:val="32"/>
          <w:szCs w:val="32"/>
          <w:highlight w:val="none"/>
          <w:lang w:val="en-US" w:eastAsia="zh-CN"/>
        </w:rPr>
        <w:t>28.86万元</w:t>
      </w:r>
      <w:r>
        <w:rPr>
          <w:rFonts w:hint="eastAsia" w:ascii="仿宋" w:hAnsi="仿宋" w:eastAsia="仿宋" w:cs="仿宋"/>
          <w:sz w:val="32"/>
          <w:szCs w:val="32"/>
          <w:highlight w:val="none"/>
        </w:rPr>
        <w:t>。</w:t>
      </w:r>
    </w:p>
    <w:p w14:paraId="6D1A0801">
      <w:pPr>
        <w:pStyle w:val="6"/>
        <w:spacing w:after="0" w:line="560" w:lineRule="exact"/>
        <w:ind w:firstLine="640" w:firstLineChars="200"/>
        <w:rPr>
          <w:rFonts w:hint="eastAsia" w:ascii="仿宋" w:hAnsi="仿宋" w:eastAsia="仿宋" w:cs="仿宋"/>
          <w:sz w:val="32"/>
          <w:szCs w:val="32"/>
          <w:highlight w:val="none"/>
        </w:rPr>
      </w:pPr>
    </w:p>
    <w:p w14:paraId="3BEB1B59">
      <w:pPr>
        <w:spacing w:line="600" w:lineRule="exact"/>
        <w:ind w:left="0" w:leftChars="0" w:firstLine="643" w:firstLineChars="200"/>
        <w:outlineLvl w:val="2"/>
        <w:rPr>
          <w:rFonts w:hint="eastAsia" w:eastAsia="黑体" w:cs="黑体"/>
          <w:b/>
          <w:bCs/>
          <w:sz w:val="32"/>
          <w:szCs w:val="36"/>
          <w:highlight w:val="none"/>
        </w:rPr>
      </w:pPr>
      <w:r>
        <w:rPr>
          <w:rFonts w:hint="eastAsia" w:eastAsia="黑体" w:cs="黑体"/>
          <w:b/>
          <w:bCs/>
          <w:sz w:val="32"/>
          <w:szCs w:val="36"/>
          <w:highlight w:val="none"/>
        </w:rPr>
        <w:t>七、财政拨款“三公”经费支出决算情况说明</w:t>
      </w:r>
    </w:p>
    <w:p w14:paraId="680008BC">
      <w:pPr>
        <w:spacing w:line="600" w:lineRule="exact"/>
        <w:ind w:left="0" w:leftChars="0" w:firstLine="643" w:firstLineChars="200"/>
        <w:outlineLvl w:val="2"/>
        <w:rPr>
          <w:rFonts w:hint="eastAsia" w:ascii="黑体" w:hAnsi="黑体" w:eastAsia="黑体" w:cs="黑体"/>
          <w:b/>
          <w:bCs/>
          <w:sz w:val="32"/>
          <w:szCs w:val="32"/>
          <w:highlight w:val="none"/>
        </w:rPr>
      </w:pPr>
      <w:r>
        <w:rPr>
          <w:rFonts w:hint="eastAsia" w:eastAsia="黑体" w:cs="黑体"/>
          <w:b/>
          <w:bCs/>
          <w:sz w:val="32"/>
          <w:szCs w:val="36"/>
          <w:highlight w:val="none"/>
          <w:lang w:eastAsia="zh-CN"/>
        </w:rPr>
        <w:t>（</w:t>
      </w:r>
      <w:r>
        <w:rPr>
          <w:rFonts w:hint="eastAsia" w:eastAsia="黑体" w:cs="黑体"/>
          <w:b/>
          <w:bCs/>
          <w:sz w:val="32"/>
          <w:szCs w:val="36"/>
          <w:highlight w:val="none"/>
          <w:lang w:val="en-US" w:eastAsia="zh-CN"/>
        </w:rPr>
        <w:t>一</w:t>
      </w:r>
      <w:r>
        <w:rPr>
          <w:rFonts w:hint="eastAsia" w:eastAsia="黑体" w:cs="黑体"/>
          <w:b/>
          <w:bCs/>
          <w:sz w:val="32"/>
          <w:szCs w:val="36"/>
          <w:highlight w:val="none"/>
          <w:lang w:eastAsia="zh-CN"/>
        </w:rPr>
        <w:t>）</w:t>
      </w:r>
      <w:r>
        <w:rPr>
          <w:rFonts w:hint="eastAsia" w:ascii="黑体" w:hAnsi="黑体" w:eastAsia="黑体" w:cs="黑体"/>
          <w:b/>
          <w:bCs/>
          <w:sz w:val="32"/>
          <w:szCs w:val="32"/>
          <w:highlight w:val="none"/>
        </w:rPr>
        <w:t>财政拨款“三公”经费支出总体情况说明。</w:t>
      </w:r>
    </w:p>
    <w:p w14:paraId="34A5CAAD">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sz w:val="32"/>
          <w:szCs w:val="32"/>
          <w:highlight w:val="none"/>
          <w:lang w:val="en-US" w:eastAsia="zh-CN"/>
        </w:rPr>
        <w:t>2025</w:t>
      </w:r>
      <w:r>
        <w:rPr>
          <w:rFonts w:hint="eastAsia" w:ascii="仿宋" w:hAnsi="仿宋" w:eastAsia="仿宋" w:cs="仿宋"/>
          <w:sz w:val="32"/>
          <w:szCs w:val="32"/>
          <w:highlight w:val="none"/>
        </w:rPr>
        <w:t>年度财政拨款“三公”</w:t>
      </w:r>
      <w:r>
        <w:rPr>
          <w:rFonts w:hint="eastAsia" w:ascii="仿宋" w:hAnsi="仿宋" w:eastAsia="仿宋" w:cs="仿宋"/>
          <w:b w:val="0"/>
          <w:bCs w:val="0"/>
          <w:sz w:val="32"/>
          <w:szCs w:val="32"/>
          <w:highlight w:val="none"/>
        </w:rPr>
        <w:t>经费预算</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7</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万元，支出决算</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4.65</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万元，完成预算的</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66.43</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。其中：因公出国（境）费预算</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万元，支出决算</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rPr>
        <w:t>万元，完成预算的</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100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；公务用车购置及运行维护费预算</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3</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万元，支出决算</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3</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万元，完成预算的</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100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；公务接待费预算</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4</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万元，支出决算</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1.65</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万元，完成预算的</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41.25</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val="en-US" w:eastAsia="zh-CN"/>
        </w:rPr>
        <w:t>2025</w:t>
      </w:r>
      <w:r>
        <w:rPr>
          <w:rFonts w:hint="eastAsia" w:ascii="仿宋" w:hAnsi="仿宋" w:eastAsia="仿宋" w:cs="仿宋"/>
          <w:b w:val="0"/>
          <w:bCs w:val="0"/>
          <w:sz w:val="32"/>
          <w:szCs w:val="32"/>
          <w:highlight w:val="none"/>
        </w:rPr>
        <w:t>年度一般公共预算“三公”经费支出决算与预算差异原因</w:t>
      </w:r>
      <w:r>
        <w:rPr>
          <w:rFonts w:hint="eastAsia" w:ascii="仿宋" w:hAnsi="仿宋" w:eastAsia="仿宋" w:cs="仿宋"/>
          <w:b w:val="0"/>
          <w:bCs w:val="0"/>
          <w:sz w:val="32"/>
          <w:szCs w:val="32"/>
          <w:highlight w:val="none"/>
          <w:lang w:val="en-US" w:eastAsia="zh-CN"/>
        </w:rPr>
        <w:t>主要是单位压缩公务接待数量和人数，公务接待费支出减少</w:t>
      </w:r>
      <w:r>
        <w:rPr>
          <w:rFonts w:hint="eastAsia" w:ascii="仿宋" w:hAnsi="仿宋" w:eastAsia="仿宋" w:cs="仿宋"/>
          <w:b w:val="0"/>
          <w:bCs w:val="0"/>
          <w:sz w:val="32"/>
          <w:szCs w:val="32"/>
          <w:highlight w:val="none"/>
        </w:rPr>
        <w:t>。</w:t>
      </w:r>
    </w:p>
    <w:p w14:paraId="38A5A6F2">
      <w:pPr>
        <w:keepNext/>
        <w:keepLines/>
        <w:adjustRightInd w:val="0"/>
        <w:snapToGrid w:val="0"/>
        <w:spacing w:line="560" w:lineRule="exact"/>
        <w:ind w:firstLine="643"/>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（二）财政拨款“三公”经费支出具体情况说明。</w:t>
      </w:r>
    </w:p>
    <w:p w14:paraId="5DB7F69B">
      <w:pPr>
        <w:keepNext/>
        <w:keepLines/>
        <w:adjustRightInd w:val="0"/>
        <w:snapToGrid w:val="0"/>
        <w:spacing w:line="560" w:lineRule="exact"/>
        <w:ind w:firstLine="643"/>
        <w:rPr>
          <w:rFonts w:hint="eastAsia" w:ascii="仿宋" w:hAnsi="仿宋" w:eastAsia="仿宋" w:cs="仿宋"/>
          <w:b w:val="0"/>
          <w:bCs w:val="0"/>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sz w:val="32"/>
          <w:szCs w:val="32"/>
          <w:highlight w:val="none"/>
          <w:lang w:val="en-US" w:eastAsia="zh-CN"/>
        </w:rPr>
        <w:t>2025</w:t>
      </w:r>
      <w:r>
        <w:rPr>
          <w:rFonts w:hint="eastAsia" w:ascii="仿宋" w:hAnsi="仿宋" w:eastAsia="仿宋" w:cs="仿宋"/>
          <w:b w:val="0"/>
          <w:bCs w:val="0"/>
          <w:sz w:val="32"/>
          <w:szCs w:val="32"/>
          <w:highlight w:val="none"/>
        </w:rPr>
        <w:t>年度财政拨款“三公”经费支出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4.65</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万元。因公出国（境）费支出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万元，占</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；公务用车购置及运行维护费支出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3</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万元，占</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64.52</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；公务接待费支出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1.65</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万元，占</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35.48</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。其中：</w:t>
      </w:r>
    </w:p>
    <w:p w14:paraId="6116D7B2">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1.因公出国（境）费支出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万元，全年出国（境）团组</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个，累计</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人次。与上年决算相比，增加（减少）</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万元，增长（减少）</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，变动原因：</w:t>
      </w:r>
      <w:r>
        <w:rPr>
          <w:rFonts w:hint="eastAsia" w:ascii="仿宋" w:hAnsi="仿宋" w:eastAsia="仿宋" w:cs="仿宋"/>
          <w:b w:val="0"/>
          <w:bCs w:val="0"/>
          <w:sz w:val="32"/>
          <w:szCs w:val="32"/>
          <w:highlight w:val="none"/>
          <w:lang w:val="en-US" w:eastAsia="zh-CN"/>
        </w:rPr>
        <w:t>无变动</w:t>
      </w:r>
      <w:r>
        <w:rPr>
          <w:rFonts w:hint="eastAsia" w:ascii="仿宋" w:hAnsi="仿宋" w:eastAsia="仿宋" w:cs="仿宋"/>
          <w:b w:val="0"/>
          <w:bCs w:val="0"/>
          <w:sz w:val="32"/>
          <w:szCs w:val="32"/>
          <w:highlight w:val="none"/>
        </w:rPr>
        <w:t>。</w:t>
      </w:r>
    </w:p>
    <w:p w14:paraId="33377F8A">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2.公务用车购置及运行维护费支出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3</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万元。其中：</w:t>
      </w:r>
    </w:p>
    <w:p w14:paraId="6F293375">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（1）公务用车购置支出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万元。本年度使用一般公共预算财政拨款购置公务用车</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rPr>
        <w:t>辆，开支内容：</w:t>
      </w:r>
      <w:r>
        <w:rPr>
          <w:rFonts w:hint="eastAsia" w:ascii="仿宋" w:hAnsi="仿宋" w:eastAsia="仿宋" w:cs="仿宋"/>
          <w:b w:val="0"/>
          <w:bCs w:val="0"/>
          <w:sz w:val="32"/>
          <w:szCs w:val="32"/>
          <w:highlight w:val="none"/>
          <w:lang w:val="en-US" w:eastAsia="zh-CN"/>
        </w:rPr>
        <w:t>无发生额</w:t>
      </w:r>
      <w:r>
        <w:rPr>
          <w:rFonts w:hint="eastAsia" w:ascii="仿宋" w:hAnsi="仿宋" w:eastAsia="仿宋" w:cs="仿宋"/>
          <w:b w:val="0"/>
          <w:bCs w:val="0"/>
          <w:sz w:val="32"/>
          <w:szCs w:val="32"/>
          <w:highlight w:val="none"/>
        </w:rPr>
        <w:t>。与上年决算相比，增加（减少）</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万元，增长（减少）</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，变动原因：</w:t>
      </w:r>
      <w:r>
        <w:rPr>
          <w:rFonts w:hint="eastAsia" w:ascii="仿宋" w:hAnsi="仿宋" w:eastAsia="仿宋" w:cs="仿宋"/>
          <w:b w:val="0"/>
          <w:bCs w:val="0"/>
          <w:sz w:val="32"/>
          <w:szCs w:val="32"/>
          <w:highlight w:val="none"/>
          <w:lang w:val="en-US" w:eastAsia="zh-CN"/>
        </w:rPr>
        <w:t>无发生额</w:t>
      </w:r>
      <w:r>
        <w:rPr>
          <w:rFonts w:hint="eastAsia" w:ascii="仿宋" w:hAnsi="仿宋" w:eastAsia="仿宋" w:cs="仿宋"/>
          <w:b w:val="0"/>
          <w:bCs w:val="0"/>
          <w:sz w:val="32"/>
          <w:szCs w:val="32"/>
          <w:highlight w:val="none"/>
        </w:rPr>
        <w:t>。</w:t>
      </w:r>
    </w:p>
    <w:p w14:paraId="3CF3C814">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（2）公务用车运行维护费支出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3</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万元。公务用车运行维护费主要用于按规定保留的公务用车的燃料费、维修费、过桥过路费、保险费、安全奖励费用等支出。截至</w:t>
      </w:r>
      <w:r>
        <w:rPr>
          <w:rFonts w:hint="eastAsia" w:ascii="仿宋" w:hAnsi="仿宋" w:eastAsia="仿宋" w:cs="仿宋"/>
          <w:b w:val="0"/>
          <w:bCs w:val="0"/>
          <w:sz w:val="32"/>
          <w:szCs w:val="32"/>
          <w:highlight w:val="none"/>
          <w:lang w:val="en-US" w:eastAsia="zh-CN"/>
        </w:rPr>
        <w:t>2025</w:t>
      </w:r>
      <w:r>
        <w:rPr>
          <w:rFonts w:hint="eastAsia" w:ascii="仿宋" w:hAnsi="仿宋" w:eastAsia="仿宋" w:cs="仿宋"/>
          <w:b w:val="0"/>
          <w:bCs w:val="0"/>
          <w:sz w:val="32"/>
          <w:szCs w:val="32"/>
          <w:highlight w:val="none"/>
        </w:rPr>
        <w:t>年12月31日，使用一般公共预算财政拨款开支的公务用车保有量为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3</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辆。与上年决算相比，增加（减少）</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万元，增长（减少）</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，变动原因：</w:t>
      </w:r>
      <w:r>
        <w:rPr>
          <w:rFonts w:hint="eastAsia" w:ascii="仿宋" w:hAnsi="仿宋" w:eastAsia="仿宋" w:cs="仿宋"/>
          <w:b w:val="0"/>
          <w:bCs w:val="0"/>
          <w:sz w:val="32"/>
          <w:szCs w:val="32"/>
          <w:highlight w:val="none"/>
          <w:lang w:val="en-US" w:eastAsia="zh-CN"/>
        </w:rPr>
        <w:t>无变动</w:t>
      </w:r>
      <w:r>
        <w:rPr>
          <w:rFonts w:hint="eastAsia" w:ascii="仿宋" w:hAnsi="仿宋" w:eastAsia="仿宋" w:cs="仿宋"/>
          <w:b w:val="0"/>
          <w:bCs w:val="0"/>
          <w:sz w:val="32"/>
          <w:szCs w:val="32"/>
          <w:highlight w:val="none"/>
        </w:rPr>
        <w:t>。</w:t>
      </w:r>
    </w:p>
    <w:p w14:paraId="62762506">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3.公务接待费支出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1.65</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万元。其中：国内公务接待支出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1.65</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万元，接待</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25</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批次，</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165</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人次，开支内容：</w:t>
      </w:r>
      <w:r>
        <w:rPr>
          <w:rFonts w:hint="eastAsia" w:ascii="仿宋" w:hAnsi="仿宋" w:eastAsia="仿宋" w:cs="仿宋"/>
          <w:b w:val="0"/>
          <w:bCs w:val="0"/>
          <w:sz w:val="32"/>
          <w:szCs w:val="32"/>
          <w:highlight w:val="none"/>
          <w:lang w:val="en-US" w:eastAsia="zh-CN"/>
        </w:rPr>
        <w:t>餐费</w:t>
      </w:r>
      <w:r>
        <w:rPr>
          <w:rFonts w:hint="eastAsia" w:ascii="仿宋" w:hAnsi="仿宋" w:eastAsia="仿宋" w:cs="仿宋"/>
          <w:b w:val="0"/>
          <w:bCs w:val="0"/>
          <w:sz w:val="32"/>
          <w:szCs w:val="32"/>
          <w:highlight w:val="none"/>
        </w:rPr>
        <w:t>；国（境）外公务接待支出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万元，接待</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批次，</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人次，开支内容：</w:t>
      </w:r>
      <w:r>
        <w:rPr>
          <w:rFonts w:hint="eastAsia" w:ascii="仿宋" w:hAnsi="仿宋" w:eastAsia="仿宋" w:cs="仿宋"/>
          <w:b w:val="0"/>
          <w:bCs w:val="0"/>
          <w:sz w:val="32"/>
          <w:szCs w:val="32"/>
          <w:highlight w:val="none"/>
          <w:lang w:val="en-US" w:eastAsia="zh-CN"/>
        </w:rPr>
        <w:t>无</w:t>
      </w:r>
      <w:r>
        <w:rPr>
          <w:rFonts w:hint="eastAsia" w:ascii="仿宋" w:hAnsi="仿宋" w:eastAsia="仿宋" w:cs="仿宋"/>
          <w:b w:val="0"/>
          <w:bCs w:val="0"/>
          <w:sz w:val="32"/>
          <w:szCs w:val="32"/>
          <w:highlight w:val="none"/>
        </w:rPr>
        <w:t>。与上年决算相比，增加（减少）</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万元，增长（减少）</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，变动原因：</w:t>
      </w:r>
      <w:r>
        <w:rPr>
          <w:rFonts w:hint="eastAsia" w:ascii="仿宋" w:hAnsi="仿宋" w:eastAsia="仿宋" w:cs="仿宋"/>
          <w:b w:val="0"/>
          <w:bCs w:val="0"/>
          <w:sz w:val="32"/>
          <w:szCs w:val="32"/>
          <w:highlight w:val="none"/>
          <w:lang w:val="en-US" w:eastAsia="zh-CN"/>
        </w:rPr>
        <w:t>无变动</w:t>
      </w:r>
      <w:r>
        <w:rPr>
          <w:rFonts w:hint="eastAsia" w:ascii="仿宋" w:hAnsi="仿宋" w:eastAsia="仿宋" w:cs="仿宋"/>
          <w:b w:val="0"/>
          <w:bCs w:val="0"/>
          <w:sz w:val="32"/>
          <w:szCs w:val="32"/>
          <w:highlight w:val="none"/>
        </w:rPr>
        <w:t>。</w:t>
      </w:r>
    </w:p>
    <w:p w14:paraId="2B9EC0E0">
      <w:pPr>
        <w:pStyle w:val="6"/>
        <w:spacing w:after="0" w:line="560" w:lineRule="exact"/>
        <w:ind w:firstLine="640" w:firstLineChars="200"/>
        <w:rPr>
          <w:rFonts w:hint="eastAsia" w:ascii="仿宋" w:hAnsi="仿宋" w:eastAsia="仿宋" w:cs="仿宋"/>
          <w:b w:val="0"/>
          <w:bCs w:val="0"/>
          <w:sz w:val="32"/>
          <w:szCs w:val="32"/>
          <w:highlight w:val="none"/>
        </w:rPr>
      </w:pPr>
    </w:p>
    <w:p w14:paraId="05AD0DE6">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八、政府性基金预算财政拨款支出决算情况说明</w:t>
      </w:r>
    </w:p>
    <w:p w14:paraId="67370FA2">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sz w:val="32"/>
          <w:szCs w:val="32"/>
          <w:highlight w:val="none"/>
          <w:lang w:val="en-US" w:eastAsia="zh-CN"/>
        </w:rPr>
        <w:t>2025</w:t>
      </w:r>
      <w:r>
        <w:rPr>
          <w:rFonts w:hint="eastAsia" w:ascii="仿宋" w:hAnsi="仿宋" w:eastAsia="仿宋" w:cs="仿宋"/>
          <w:b w:val="0"/>
          <w:bCs w:val="0"/>
          <w:sz w:val="32"/>
          <w:szCs w:val="32"/>
          <w:highlight w:val="none"/>
        </w:rPr>
        <w:t>年度政府性基金支出决算</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84.06</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万元。与上年决算相比，增加</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84.06</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万元，增长</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100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，变动原因：</w:t>
      </w:r>
      <w:r>
        <w:rPr>
          <w:rFonts w:hint="eastAsia" w:ascii="仿宋" w:hAnsi="仿宋" w:eastAsia="仿宋" w:cs="仿宋"/>
          <w:b w:val="0"/>
          <w:bCs w:val="0"/>
          <w:sz w:val="32"/>
          <w:szCs w:val="32"/>
          <w:highlight w:val="none"/>
          <w:lang w:val="en-US" w:eastAsia="zh-CN"/>
        </w:rPr>
        <w:t>财政拨入政府性基金用于我局债务化解任务</w:t>
      </w:r>
      <w:r>
        <w:rPr>
          <w:rFonts w:hint="eastAsia" w:ascii="仿宋" w:hAnsi="仿宋" w:eastAsia="仿宋" w:cs="仿宋"/>
          <w:b w:val="0"/>
          <w:bCs w:val="0"/>
          <w:sz w:val="32"/>
          <w:szCs w:val="32"/>
          <w:highlight w:val="none"/>
        </w:rPr>
        <w:t>。其中：</w:t>
      </w:r>
    </w:p>
    <w:p w14:paraId="38D2745C">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（一）城乡社区支出（类）政府住房基金及对应专项债务收入安排的支出（款）管理费用支出（项）支出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万元，主要用于</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val="en-US" w:eastAsia="zh-CN"/>
        </w:rPr>
        <w:t>本单位不涉及此类政府性基金支出</w:t>
      </w:r>
      <w:r>
        <w:rPr>
          <w:rFonts w:hint="eastAsia" w:ascii="仿宋" w:hAnsi="仿宋" w:eastAsia="仿宋" w:cs="仿宋"/>
          <w:b w:val="0"/>
          <w:bCs w:val="0"/>
          <w:sz w:val="32"/>
          <w:szCs w:val="32"/>
          <w:highlight w:val="none"/>
        </w:rPr>
        <w:t>。</w:t>
      </w:r>
    </w:p>
    <w:p w14:paraId="277A5061">
      <w:pPr>
        <w:pStyle w:val="6"/>
        <w:spacing w:after="0" w:line="560" w:lineRule="exact"/>
        <w:ind w:firstLine="640" w:firstLineChars="200"/>
        <w:rPr>
          <w:rFonts w:hint="default"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rPr>
        <w:t>（二）</w:t>
      </w:r>
      <w:r>
        <w:rPr>
          <w:rFonts w:hint="eastAsia" w:ascii="仿宋" w:hAnsi="仿宋" w:eastAsia="仿宋" w:cs="仿宋"/>
          <w:b w:val="0"/>
          <w:bCs w:val="0"/>
          <w:sz w:val="32"/>
          <w:szCs w:val="32"/>
          <w:highlight w:val="none"/>
          <w:lang w:val="en-US" w:eastAsia="zh-CN"/>
        </w:rPr>
        <w:t>其他支出（类）其他政府性基金及对应专项债务收入安排的支出（款）其他政府性基金债务收入安排的支出（项）支出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84.06</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万元，主要用于</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val="en-US" w:eastAsia="zh-CN"/>
        </w:rPr>
        <w:t>化解债务</w:t>
      </w:r>
      <w:r>
        <w:rPr>
          <w:rFonts w:hint="eastAsia" w:ascii="仿宋" w:hAnsi="仿宋" w:eastAsia="仿宋" w:cs="仿宋"/>
          <w:b w:val="0"/>
          <w:bCs w:val="0"/>
          <w:sz w:val="32"/>
          <w:szCs w:val="32"/>
          <w:highlight w:val="none"/>
        </w:rPr>
        <w:t>。</w:t>
      </w:r>
    </w:p>
    <w:p w14:paraId="11E8478B">
      <w:pPr>
        <w:spacing w:line="600" w:lineRule="exact"/>
        <w:ind w:left="0" w:leftChars="0" w:firstLine="643" w:firstLineChars="200"/>
        <w:outlineLvl w:val="2"/>
        <w:rPr>
          <w:rFonts w:hint="eastAsia" w:eastAsia="黑体" w:cs="黑体"/>
          <w:b/>
          <w:bCs/>
          <w:sz w:val="32"/>
          <w:szCs w:val="36"/>
          <w:highlight w:val="none"/>
        </w:rPr>
      </w:pPr>
    </w:p>
    <w:p w14:paraId="73A42A47">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九、国有资本经营预算财政拨款支出决算情况说明</w:t>
      </w:r>
    </w:p>
    <w:p w14:paraId="20DA6FF7">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sz w:val="32"/>
          <w:szCs w:val="32"/>
          <w:highlight w:val="none"/>
          <w:lang w:val="en-US" w:eastAsia="zh-CN"/>
        </w:rPr>
        <w:t>2025</w:t>
      </w:r>
      <w:r>
        <w:rPr>
          <w:rFonts w:hint="eastAsia" w:ascii="仿宋" w:hAnsi="仿宋" w:eastAsia="仿宋" w:cs="仿宋"/>
          <w:b w:val="0"/>
          <w:bCs w:val="0"/>
          <w:sz w:val="32"/>
          <w:szCs w:val="32"/>
          <w:highlight w:val="none"/>
        </w:rPr>
        <w:t>年度国有资本经营预算支出决算</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rPr>
        <w:t>万元。与上年决算相比，增加（减少）</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万元，增长（减少）</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，变动原因：本年无国有资本经营预算财政拨款支出。其中：</w:t>
      </w:r>
    </w:p>
    <w:p w14:paraId="6782E992">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（一）国有资本经营预算支出（类）解决历史遗留问题及改革成本支出（款）“三供一业”移交补助支出（项）支出</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rPr>
        <w:t>万元，主要用于本年无国有资本经营预算财政拨款支出。</w:t>
      </w:r>
    </w:p>
    <w:p w14:paraId="4720DDD8">
      <w:pPr>
        <w:pStyle w:val="6"/>
        <w:spacing w:after="0" w:line="560" w:lineRule="exact"/>
        <w:ind w:firstLine="640" w:firstLineChars="200"/>
        <w:rPr>
          <w:rFonts w:hint="eastAsia" w:ascii="仿宋" w:hAnsi="仿宋" w:eastAsia="仿宋" w:cs="仿宋"/>
          <w:b w:val="0"/>
          <w:bCs w:val="0"/>
          <w:sz w:val="32"/>
          <w:szCs w:val="32"/>
          <w:highlight w:val="none"/>
        </w:rPr>
      </w:pPr>
    </w:p>
    <w:p w14:paraId="05540307">
      <w:pPr>
        <w:keepNext/>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outlineLvl w:val="2"/>
        <w:rPr>
          <w:rFonts w:hint="eastAsia" w:ascii="仿宋" w:hAnsi="仿宋" w:eastAsia="仿宋" w:cs="仿宋"/>
          <w:b w:val="0"/>
          <w:bCs w:val="0"/>
          <w:sz w:val="32"/>
          <w:szCs w:val="32"/>
          <w:highlight w:val="none"/>
        </w:rPr>
      </w:pPr>
      <w:r>
        <w:rPr>
          <w:rFonts w:hint="eastAsia" w:ascii="黑体" w:hAnsi="黑体" w:eastAsia="黑体" w:cs="黑体"/>
          <w:b/>
          <w:bCs/>
          <w:sz w:val="32"/>
          <w:szCs w:val="36"/>
          <w:highlight w:val="none"/>
        </w:rPr>
        <w:t>十、项目支出决算情况说明</w:t>
      </w:r>
    </w:p>
    <w:p w14:paraId="329ADC82">
      <w:pPr>
        <w:spacing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sz w:val="32"/>
          <w:szCs w:val="32"/>
          <w:highlight w:val="none"/>
          <w:lang w:val="en-US" w:eastAsia="zh-CN"/>
        </w:rPr>
        <w:t>2025</w:t>
      </w:r>
      <w:r>
        <w:rPr>
          <w:rFonts w:hint="eastAsia" w:ascii="仿宋" w:hAnsi="仿宋" w:eastAsia="仿宋" w:cs="仿宋"/>
          <w:b w:val="0"/>
          <w:bCs w:val="0"/>
          <w:sz w:val="32"/>
          <w:szCs w:val="32"/>
          <w:highlight w:val="none"/>
        </w:rPr>
        <w:t>年度预算安排项目</w:t>
      </w:r>
      <w:r>
        <w:rPr>
          <w:rFonts w:hint="eastAsia" w:ascii="仿宋" w:hAnsi="仿宋" w:eastAsia="仿宋" w:cs="仿宋"/>
          <w:b w:val="0"/>
          <w:bCs w:val="0"/>
          <w:sz w:val="32"/>
          <w:szCs w:val="32"/>
          <w:highlight w:val="none"/>
          <w:u w:val="single"/>
          <w:lang w:val="en-US" w:eastAsia="zh-CN"/>
        </w:rPr>
        <w:t>4</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个，实施项目</w:t>
      </w:r>
      <w:r>
        <w:rPr>
          <w:rFonts w:hint="eastAsia" w:ascii="仿宋" w:hAnsi="仿宋" w:eastAsia="仿宋" w:cs="仿宋"/>
          <w:b w:val="0"/>
          <w:bCs w:val="0"/>
          <w:sz w:val="32"/>
          <w:szCs w:val="32"/>
          <w:highlight w:val="none"/>
          <w:u w:val="single"/>
        </w:rPr>
        <w:tab/>
      </w:r>
      <w:r>
        <w:rPr>
          <w:rFonts w:hint="eastAsia" w:ascii="仿宋" w:hAnsi="仿宋" w:eastAsia="仿宋" w:cs="仿宋"/>
          <w:b w:val="0"/>
          <w:bCs w:val="0"/>
          <w:sz w:val="32"/>
          <w:szCs w:val="32"/>
          <w:highlight w:val="none"/>
          <w:u w:val="single"/>
          <w:lang w:val="en-US" w:eastAsia="zh-CN"/>
        </w:rPr>
        <w:t>4</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个，完成项目</w:t>
      </w:r>
      <w:r>
        <w:rPr>
          <w:rFonts w:hint="eastAsia" w:ascii="仿宋" w:hAnsi="仿宋" w:eastAsia="仿宋" w:cs="仿宋"/>
          <w:b w:val="0"/>
          <w:bCs w:val="0"/>
          <w:sz w:val="32"/>
          <w:szCs w:val="32"/>
          <w:highlight w:val="none"/>
          <w:u w:val="single"/>
          <w:lang w:val="en-US" w:eastAsia="zh-CN"/>
        </w:rPr>
        <w:t>7</w:t>
      </w:r>
      <w:r>
        <w:rPr>
          <w:rFonts w:hint="eastAsia" w:ascii="仿宋" w:hAnsi="仿宋" w:eastAsia="仿宋" w:cs="仿宋"/>
          <w:b w:val="0"/>
          <w:bCs w:val="0"/>
          <w:sz w:val="32"/>
          <w:szCs w:val="32"/>
          <w:highlight w:val="none"/>
        </w:rPr>
        <w:t>个，项目支出总金额</w:t>
      </w:r>
      <w:r>
        <w:rPr>
          <w:rFonts w:hint="eastAsia" w:ascii="仿宋" w:hAnsi="仿宋" w:eastAsia="仿宋" w:cs="仿宋"/>
          <w:b w:val="0"/>
          <w:bCs w:val="0"/>
          <w:sz w:val="32"/>
          <w:szCs w:val="32"/>
          <w:highlight w:val="none"/>
          <w:u w:val="single"/>
          <w:lang w:val="en-US" w:eastAsia="zh-CN"/>
        </w:rPr>
        <w:t>893.08</w:t>
      </w:r>
      <w:r>
        <w:rPr>
          <w:rFonts w:hint="eastAsia" w:ascii="仿宋" w:hAnsi="仿宋" w:eastAsia="仿宋" w:cs="仿宋"/>
          <w:b w:val="0"/>
          <w:bCs w:val="0"/>
          <w:sz w:val="32"/>
          <w:szCs w:val="32"/>
          <w:highlight w:val="none"/>
        </w:rPr>
        <w:t>万元。资金来源包括年初结转结余</w:t>
      </w:r>
      <w:r>
        <w:rPr>
          <w:rFonts w:hint="eastAsia" w:ascii="仿宋" w:hAnsi="仿宋" w:eastAsia="仿宋" w:cs="仿宋"/>
          <w:b w:val="0"/>
          <w:bCs w:val="0"/>
          <w:sz w:val="32"/>
          <w:szCs w:val="32"/>
          <w:highlight w:val="none"/>
          <w:u w:val="single"/>
          <w:lang w:val="en-US" w:eastAsia="zh-CN"/>
        </w:rPr>
        <w:t>621.74</w:t>
      </w:r>
      <w:r>
        <w:rPr>
          <w:rFonts w:hint="eastAsia" w:ascii="仿宋" w:hAnsi="仿宋" w:eastAsia="仿宋" w:cs="仿宋"/>
          <w:b w:val="0"/>
          <w:bCs w:val="0"/>
          <w:sz w:val="32"/>
          <w:szCs w:val="32"/>
          <w:highlight w:val="none"/>
        </w:rPr>
        <w:t>万元，本年财政拨款金额</w:t>
      </w:r>
      <w:r>
        <w:rPr>
          <w:rFonts w:hint="eastAsia" w:ascii="仿宋" w:hAnsi="仿宋" w:eastAsia="仿宋" w:cs="仿宋"/>
          <w:b w:val="0"/>
          <w:bCs w:val="0"/>
          <w:sz w:val="32"/>
          <w:szCs w:val="32"/>
          <w:highlight w:val="none"/>
          <w:u w:val="single"/>
          <w:lang w:val="en-US" w:eastAsia="zh-CN"/>
        </w:rPr>
        <w:t>187.28</w:t>
      </w:r>
      <w:r>
        <w:rPr>
          <w:rFonts w:hint="eastAsia" w:ascii="仿宋" w:hAnsi="仿宋" w:eastAsia="仿宋" w:cs="仿宋"/>
          <w:b w:val="0"/>
          <w:bCs w:val="0"/>
          <w:sz w:val="32"/>
          <w:szCs w:val="32"/>
          <w:highlight w:val="none"/>
        </w:rPr>
        <w:t>万元，本年其他资金</w:t>
      </w:r>
      <w:r>
        <w:rPr>
          <w:rFonts w:hint="eastAsia" w:ascii="仿宋" w:hAnsi="仿宋" w:eastAsia="仿宋" w:cs="仿宋"/>
          <w:b w:val="0"/>
          <w:bCs w:val="0"/>
          <w:sz w:val="32"/>
          <w:szCs w:val="32"/>
          <w:highlight w:val="none"/>
          <w:u w:val="single"/>
        </w:rPr>
        <w:tab/>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w:t>
      </w:r>
    </w:p>
    <w:p w14:paraId="5516ADED">
      <w:pPr>
        <w:pStyle w:val="2"/>
        <w:rPr>
          <w:rFonts w:hint="eastAsia"/>
        </w:rPr>
      </w:pPr>
    </w:p>
    <w:p w14:paraId="4C989877">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十一、</w:t>
      </w:r>
      <w:r>
        <w:rPr>
          <w:rFonts w:hint="eastAsia" w:eastAsia="黑体" w:cs="黑体"/>
          <w:b/>
          <w:bCs/>
          <w:sz w:val="32"/>
          <w:szCs w:val="36"/>
          <w:highlight w:val="none"/>
          <w:lang w:val="en-US" w:eastAsia="zh-CN"/>
        </w:rPr>
        <w:t>机构</w:t>
      </w:r>
      <w:r>
        <w:rPr>
          <w:rFonts w:hint="eastAsia" w:eastAsia="黑体" w:cs="黑体"/>
          <w:b/>
          <w:bCs/>
          <w:sz w:val="32"/>
          <w:szCs w:val="36"/>
          <w:highlight w:val="none"/>
        </w:rPr>
        <w:t>运行经费支出决算情况说明</w:t>
      </w:r>
    </w:p>
    <w:p w14:paraId="0083944E">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sz w:val="32"/>
          <w:szCs w:val="32"/>
          <w:highlight w:val="none"/>
          <w:lang w:val="en-US" w:eastAsia="zh-CN"/>
        </w:rPr>
        <w:t>2025</w:t>
      </w:r>
      <w:r>
        <w:rPr>
          <w:rFonts w:hint="eastAsia" w:ascii="仿宋" w:hAnsi="仿宋" w:eastAsia="仿宋" w:cs="仿宋"/>
          <w:b w:val="0"/>
          <w:bCs w:val="0"/>
          <w:sz w:val="32"/>
          <w:szCs w:val="32"/>
          <w:highlight w:val="none"/>
        </w:rPr>
        <w:t>年度</w:t>
      </w:r>
      <w:r>
        <w:rPr>
          <w:rFonts w:hint="eastAsia" w:ascii="仿宋" w:hAnsi="仿宋" w:eastAsia="仿宋" w:cs="仿宋"/>
          <w:b w:val="0"/>
          <w:bCs w:val="0"/>
          <w:sz w:val="32"/>
          <w:szCs w:val="32"/>
          <w:highlight w:val="none"/>
          <w:lang w:val="en-US" w:eastAsia="zh-CN"/>
        </w:rPr>
        <w:t>机构</w:t>
      </w:r>
      <w:r>
        <w:rPr>
          <w:rFonts w:hint="eastAsia" w:ascii="仿宋" w:hAnsi="仿宋" w:eastAsia="仿宋" w:cs="仿宋"/>
          <w:b w:val="0"/>
          <w:bCs w:val="0"/>
          <w:sz w:val="32"/>
          <w:szCs w:val="32"/>
          <w:highlight w:val="none"/>
        </w:rPr>
        <w:t>运行经费支出决算</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70.29</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万元。比上年决算相比，增加</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1.03</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万元，增长</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 xml:space="preserve">1.49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，变动原因：</w:t>
      </w:r>
      <w:r>
        <w:rPr>
          <w:rFonts w:hint="eastAsia" w:ascii="仿宋" w:hAnsi="仿宋" w:eastAsia="仿宋" w:cs="仿宋"/>
          <w:b w:val="0"/>
          <w:bCs w:val="0"/>
          <w:sz w:val="32"/>
          <w:szCs w:val="32"/>
          <w:highlight w:val="none"/>
          <w:lang w:val="en-US" w:eastAsia="zh-CN"/>
        </w:rPr>
        <w:t>新调入3名工作人员办公经费增加</w:t>
      </w:r>
      <w:r>
        <w:rPr>
          <w:rFonts w:hint="eastAsia" w:ascii="仿宋" w:hAnsi="仿宋" w:eastAsia="仿宋" w:cs="仿宋"/>
          <w:b w:val="0"/>
          <w:bCs w:val="0"/>
          <w:sz w:val="32"/>
          <w:szCs w:val="32"/>
          <w:highlight w:val="none"/>
        </w:rPr>
        <w:t>。</w:t>
      </w:r>
    </w:p>
    <w:p w14:paraId="626A0DC0">
      <w:pPr>
        <w:pStyle w:val="6"/>
        <w:spacing w:after="0" w:line="560" w:lineRule="exact"/>
        <w:ind w:firstLine="640" w:firstLineChars="200"/>
        <w:rPr>
          <w:rFonts w:hint="eastAsia" w:ascii="仿宋" w:hAnsi="仿宋" w:eastAsia="仿宋" w:cs="仿宋"/>
          <w:b w:val="0"/>
          <w:bCs w:val="0"/>
          <w:sz w:val="32"/>
          <w:szCs w:val="32"/>
          <w:highlight w:val="none"/>
        </w:rPr>
      </w:pPr>
    </w:p>
    <w:p w14:paraId="69E826C7">
      <w:pPr>
        <w:spacing w:line="600" w:lineRule="exact"/>
        <w:ind w:left="0" w:leftChars="0" w:firstLine="643" w:firstLineChars="200"/>
        <w:outlineLvl w:val="2"/>
        <w:rPr>
          <w:rFonts w:eastAsia="黑体" w:cs="黑体"/>
          <w:b/>
          <w:bCs/>
          <w:sz w:val="32"/>
          <w:szCs w:val="36"/>
          <w:highlight w:val="none"/>
        </w:rPr>
      </w:pPr>
      <w:r>
        <w:rPr>
          <w:rFonts w:hint="eastAsia" w:eastAsia="黑体" w:cs="黑体"/>
          <w:b/>
          <w:bCs/>
          <w:sz w:val="32"/>
          <w:szCs w:val="36"/>
          <w:highlight w:val="none"/>
        </w:rPr>
        <w:t>十二、政府采购支出决算情况说明</w:t>
      </w:r>
    </w:p>
    <w:p w14:paraId="7FED662A">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sz w:val="32"/>
          <w:szCs w:val="32"/>
          <w:highlight w:val="none"/>
          <w:lang w:val="en-US" w:eastAsia="zh-CN"/>
        </w:rPr>
        <w:t>2025</w:t>
      </w:r>
      <w:r>
        <w:rPr>
          <w:rFonts w:hint="eastAsia" w:ascii="仿宋" w:hAnsi="仿宋" w:eastAsia="仿宋" w:cs="仿宋"/>
          <w:b w:val="0"/>
          <w:bCs w:val="0"/>
          <w:sz w:val="32"/>
          <w:szCs w:val="32"/>
          <w:highlight w:val="none"/>
        </w:rPr>
        <w:t>年度政府采购支出总额</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477.01</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万元，其中：政府采购货物支出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3.5</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万元、政府采购工程支出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万元、政府采购服务支出</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381.17</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万元。政府采购授予中小企业合同金额</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92.34</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万元，占政府采购支出总额的</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19.36</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，其中：授予小微企业合同金额</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92.34</w:t>
      </w:r>
      <w:r>
        <w:rPr>
          <w:rFonts w:hint="eastAsia" w:ascii="仿宋" w:hAnsi="仿宋" w:eastAsia="仿宋" w:cs="仿宋"/>
          <w:b w:val="0"/>
          <w:bCs w:val="0"/>
          <w:sz w:val="32"/>
          <w:szCs w:val="32"/>
          <w:highlight w:val="none"/>
        </w:rPr>
        <w:t>万元，占政府采购支出总额的</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19.36</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w:t>
      </w:r>
    </w:p>
    <w:p w14:paraId="4EC06524">
      <w:pPr>
        <w:keepNext/>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outlineLvl w:val="2"/>
        <w:rPr>
          <w:rFonts w:hint="eastAsia" w:eastAsia="黑体" w:cs="黑体"/>
          <w:b/>
          <w:bCs/>
          <w:sz w:val="32"/>
          <w:szCs w:val="36"/>
          <w:highlight w:val="none"/>
        </w:rPr>
      </w:pPr>
    </w:p>
    <w:p w14:paraId="4C7A306E">
      <w:pPr>
        <w:keepNext/>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outlineLvl w:val="2"/>
        <w:rPr>
          <w:rFonts w:eastAsia="黑体" w:cs="黑体"/>
          <w:b/>
          <w:bCs/>
          <w:sz w:val="32"/>
          <w:szCs w:val="36"/>
          <w:highlight w:val="none"/>
        </w:rPr>
      </w:pPr>
      <w:r>
        <w:rPr>
          <w:rFonts w:hint="eastAsia" w:eastAsia="黑体" w:cs="黑体"/>
          <w:b/>
          <w:bCs/>
          <w:sz w:val="32"/>
          <w:szCs w:val="36"/>
          <w:highlight w:val="none"/>
        </w:rPr>
        <w:t>十三、国有资产占用情况说明</w:t>
      </w:r>
    </w:p>
    <w:p w14:paraId="36023331">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sz w:val="32"/>
          <w:szCs w:val="32"/>
          <w:highlight w:val="none"/>
          <w:u w:val="single"/>
          <w:lang w:val="en-US" w:eastAsia="zh-CN"/>
        </w:rPr>
        <w:t>巴彦淖尔市住房和城乡建设局</w:t>
      </w:r>
      <w:r>
        <w:rPr>
          <w:rFonts w:hint="eastAsia" w:ascii="仿宋" w:hAnsi="仿宋" w:eastAsia="仿宋" w:cs="仿宋"/>
          <w:b w:val="0"/>
          <w:bCs w:val="0"/>
          <w:sz w:val="32"/>
          <w:szCs w:val="32"/>
          <w:highlight w:val="none"/>
        </w:rPr>
        <w:t>截至</w:t>
      </w:r>
      <w:r>
        <w:rPr>
          <w:rFonts w:hint="eastAsia" w:ascii="仿宋" w:hAnsi="仿宋" w:eastAsia="仿宋" w:cs="仿宋"/>
          <w:b w:val="0"/>
          <w:bCs w:val="0"/>
          <w:sz w:val="32"/>
          <w:szCs w:val="32"/>
          <w:highlight w:val="none"/>
          <w:lang w:val="en-US" w:eastAsia="zh-CN"/>
        </w:rPr>
        <w:t>2025</w:t>
      </w:r>
      <w:r>
        <w:rPr>
          <w:rFonts w:hint="eastAsia" w:ascii="仿宋" w:hAnsi="仿宋" w:eastAsia="仿宋" w:cs="仿宋"/>
          <w:b w:val="0"/>
          <w:bCs w:val="0"/>
          <w:sz w:val="32"/>
          <w:szCs w:val="32"/>
          <w:highlight w:val="none"/>
        </w:rPr>
        <w:t>年12月31日，本部门（单位）共有车辆</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3</w:t>
      </w:r>
      <w:r>
        <w:rPr>
          <w:rFonts w:hint="eastAsia" w:ascii="仿宋" w:hAnsi="仿宋" w:eastAsia="仿宋" w:cs="仿宋"/>
          <w:b w:val="0"/>
          <w:bCs w:val="0"/>
          <w:sz w:val="32"/>
          <w:szCs w:val="32"/>
          <w:highlight w:val="none"/>
        </w:rPr>
        <w:t>辆，其中：副部（省）级及以上领导用车</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辆、主要领导干部用车</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辆、机要通信用车</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 xml:space="preserve"> </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1</w:t>
      </w:r>
      <w:r>
        <w:rPr>
          <w:rFonts w:hint="eastAsia" w:ascii="仿宋" w:hAnsi="仿宋" w:eastAsia="仿宋" w:cs="仿宋"/>
          <w:b w:val="0"/>
          <w:bCs w:val="0"/>
          <w:sz w:val="32"/>
          <w:szCs w:val="32"/>
          <w:highlight w:val="none"/>
        </w:rPr>
        <w:t>辆、应急保障用车</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辆、执法执勤用车</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辆、特种专业技术用车</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辆、离退休干部用车</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辆，其他用车</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2</w:t>
      </w:r>
      <w:r>
        <w:rPr>
          <w:rFonts w:hint="eastAsia" w:ascii="仿宋" w:hAnsi="仿宋" w:eastAsia="仿宋" w:cs="仿宋"/>
          <w:b w:val="0"/>
          <w:bCs w:val="0"/>
          <w:sz w:val="32"/>
          <w:szCs w:val="32"/>
          <w:highlight w:val="none"/>
        </w:rPr>
        <w:t>辆；单价50万元（含）以上的通用设备</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台（套），单价100万元（含）以上的专用设备</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u w:val="single"/>
          <w:lang w:val="en-US" w:eastAsia="zh-CN"/>
        </w:rPr>
        <w:t>0</w:t>
      </w:r>
      <w:r>
        <w:rPr>
          <w:rFonts w:hint="eastAsia" w:ascii="仿宋" w:hAnsi="仿宋" w:eastAsia="仿宋" w:cs="仿宋"/>
          <w:b w:val="0"/>
          <w:bCs w:val="0"/>
          <w:sz w:val="32"/>
          <w:szCs w:val="32"/>
          <w:highlight w:val="none"/>
          <w:u w:val="single"/>
        </w:rPr>
        <w:t xml:space="preserve"> </w:t>
      </w:r>
      <w:r>
        <w:rPr>
          <w:rFonts w:hint="eastAsia" w:ascii="仿宋" w:hAnsi="仿宋" w:eastAsia="仿宋" w:cs="仿宋"/>
          <w:b w:val="0"/>
          <w:bCs w:val="0"/>
          <w:sz w:val="32"/>
          <w:szCs w:val="32"/>
          <w:highlight w:val="none"/>
        </w:rPr>
        <w:t>台（套）。</w:t>
      </w:r>
    </w:p>
    <w:p w14:paraId="2F61AD96">
      <w:pPr>
        <w:pStyle w:val="6"/>
        <w:spacing w:after="0" w:line="560" w:lineRule="exact"/>
        <w:ind w:firstLine="640" w:firstLineChars="200"/>
        <w:rPr>
          <w:rFonts w:ascii="Times New Roman" w:hAnsi="Times New Roman" w:eastAsia="仿宋_GB2312" w:cs="仿宋"/>
          <w:b w:val="0"/>
          <w:bCs w:val="0"/>
          <w:sz w:val="32"/>
          <w:szCs w:val="32"/>
          <w:highlight w:val="none"/>
        </w:rPr>
      </w:pPr>
    </w:p>
    <w:p w14:paraId="68C1CA7B">
      <w:pPr>
        <w:spacing w:line="600" w:lineRule="exact"/>
        <w:ind w:left="0" w:leftChars="0" w:firstLine="643" w:firstLineChars="200"/>
        <w:outlineLvl w:val="2"/>
        <w:rPr>
          <w:rFonts w:hint="eastAsia" w:eastAsia="黑体" w:cs="黑体"/>
          <w:b/>
          <w:bCs/>
          <w:sz w:val="32"/>
          <w:szCs w:val="36"/>
          <w:highlight w:val="none"/>
          <w:lang w:val="en-US" w:eastAsia="zh-CN"/>
        </w:rPr>
      </w:pPr>
      <w:r>
        <w:rPr>
          <w:rFonts w:hint="eastAsia" w:eastAsia="黑体" w:cs="黑体"/>
          <w:b/>
          <w:bCs/>
          <w:sz w:val="32"/>
          <w:szCs w:val="36"/>
          <w:highlight w:val="none"/>
        </w:rPr>
        <w:t>十四、预算绩效情况</w:t>
      </w:r>
      <w:r>
        <w:rPr>
          <w:rFonts w:hint="eastAsia" w:eastAsia="黑体" w:cs="黑体"/>
          <w:b/>
          <w:bCs/>
          <w:sz w:val="32"/>
          <w:szCs w:val="36"/>
          <w:highlight w:val="none"/>
          <w:lang w:val="en-US" w:eastAsia="zh-CN"/>
        </w:rPr>
        <w:t>说明</w:t>
      </w:r>
    </w:p>
    <w:p w14:paraId="6973CC0B">
      <w:pPr>
        <w:ind w:firstLine="643" w:firstLineChars="20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（一）预算绩效管理工作开展情况。</w:t>
      </w:r>
    </w:p>
    <w:p w14:paraId="1EDFCD90">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巴彦淖尔市住房和城乡建设局</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val="en-US" w:eastAsia="zh-CN"/>
        </w:rPr>
        <w:t>本级</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根据预算绩效管理要求组织对</w:t>
      </w:r>
      <w:r>
        <w:rPr>
          <w:rFonts w:hint="eastAsia" w:ascii="仿宋" w:hAnsi="仿宋" w:eastAsia="仿宋" w:cs="仿宋"/>
          <w:b w:val="0"/>
          <w:bCs w:val="0"/>
          <w:sz w:val="32"/>
          <w:szCs w:val="32"/>
          <w:highlight w:val="none"/>
          <w:lang w:val="en-US" w:eastAsia="zh-CN"/>
        </w:rPr>
        <w:t>2025</w:t>
      </w:r>
      <w:r>
        <w:rPr>
          <w:rFonts w:hint="eastAsia" w:ascii="仿宋" w:hAnsi="仿宋" w:eastAsia="仿宋" w:cs="仿宋"/>
          <w:b w:val="0"/>
          <w:bCs w:val="0"/>
          <w:sz w:val="32"/>
          <w:szCs w:val="32"/>
          <w:highlight w:val="none"/>
        </w:rPr>
        <w:t>年一般公共预算项目支出全面开展绩效自评，共涉及</w:t>
      </w:r>
      <w:r>
        <w:rPr>
          <w:rFonts w:hint="eastAsia" w:ascii="仿宋" w:hAnsi="仿宋" w:eastAsia="仿宋" w:cs="仿宋"/>
          <w:b w:val="0"/>
          <w:bCs w:val="0"/>
          <w:sz w:val="32"/>
          <w:szCs w:val="32"/>
          <w:highlight w:val="none"/>
          <w:lang w:val="en-US" w:eastAsia="zh-CN"/>
        </w:rPr>
        <w:t>项目6个，</w:t>
      </w:r>
      <w:r>
        <w:rPr>
          <w:rFonts w:hint="eastAsia" w:ascii="仿宋" w:hAnsi="仿宋" w:eastAsia="仿宋" w:cs="仿宋"/>
          <w:b w:val="0"/>
          <w:bCs w:val="0"/>
          <w:sz w:val="32"/>
          <w:szCs w:val="32"/>
          <w:highlight w:val="none"/>
        </w:rPr>
        <w:t>资金</w:t>
      </w:r>
      <w:r>
        <w:rPr>
          <w:rFonts w:hint="eastAsia" w:ascii="仿宋" w:hAnsi="仿宋" w:eastAsia="仿宋" w:cs="仿宋"/>
          <w:b w:val="0"/>
          <w:bCs w:val="0"/>
          <w:sz w:val="32"/>
          <w:szCs w:val="32"/>
          <w:highlight w:val="none"/>
          <w:lang w:val="en-US" w:eastAsia="zh-CN"/>
        </w:rPr>
        <w:t>187.28</w:t>
      </w:r>
      <w:r>
        <w:rPr>
          <w:rFonts w:hint="eastAsia" w:ascii="仿宋" w:hAnsi="仿宋" w:eastAsia="仿宋" w:cs="仿宋"/>
          <w:b w:val="0"/>
          <w:bCs w:val="0"/>
          <w:sz w:val="32"/>
          <w:szCs w:val="32"/>
          <w:highlight w:val="none"/>
        </w:rPr>
        <w:t>万元，占一般公共预算项目支出总额的100</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（必须达到100</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）；政府性基金预算项目</w:t>
      </w:r>
      <w:r>
        <w:rPr>
          <w:rFonts w:hint="eastAsia" w:ascii="仿宋" w:hAnsi="仿宋" w:eastAsia="仿宋" w:cs="仿宋"/>
          <w:b w:val="0"/>
          <w:bCs w:val="0"/>
          <w:sz w:val="32"/>
          <w:szCs w:val="32"/>
          <w:highlight w:val="none"/>
          <w:u w:val="single"/>
          <w:lang w:val="en-US" w:eastAsia="zh-CN"/>
        </w:rPr>
        <w:t>1</w:t>
      </w:r>
      <w:r>
        <w:rPr>
          <w:rFonts w:hint="eastAsia" w:ascii="仿宋" w:hAnsi="仿宋" w:eastAsia="仿宋" w:cs="仿宋"/>
          <w:b w:val="0"/>
          <w:bCs w:val="0"/>
          <w:sz w:val="32"/>
          <w:szCs w:val="32"/>
          <w:highlight w:val="none"/>
        </w:rPr>
        <w:t>个，共涉及资金</w:t>
      </w:r>
      <w:r>
        <w:rPr>
          <w:rFonts w:hint="eastAsia" w:ascii="仿宋" w:hAnsi="仿宋" w:eastAsia="仿宋" w:cs="仿宋"/>
          <w:b w:val="0"/>
          <w:bCs w:val="0"/>
          <w:sz w:val="32"/>
          <w:szCs w:val="32"/>
          <w:highlight w:val="none"/>
          <w:u w:val="single"/>
          <w:lang w:val="en-US" w:eastAsia="zh-CN"/>
        </w:rPr>
        <w:t>84.06</w:t>
      </w:r>
      <w:r>
        <w:rPr>
          <w:rFonts w:hint="eastAsia" w:ascii="仿宋" w:hAnsi="仿宋" w:eastAsia="仿宋" w:cs="仿宋"/>
          <w:b w:val="0"/>
          <w:bCs w:val="0"/>
          <w:sz w:val="32"/>
          <w:szCs w:val="32"/>
          <w:highlight w:val="none"/>
        </w:rPr>
        <w:t>万元，占政府性基金预算项目支出总额的100</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w:t>
      </w:r>
    </w:p>
    <w:p w14:paraId="7B5DEFF4">
      <w:pPr>
        <w:pStyle w:val="6"/>
        <w:spacing w:after="0" w:line="560" w:lineRule="exact"/>
        <w:ind w:firstLine="640" w:firstLineChars="200"/>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组织对“城市精细化管理</w:t>
      </w:r>
      <w:r>
        <w:rPr>
          <w:rFonts w:hint="eastAsia" w:ascii="仿宋" w:hAnsi="仿宋" w:eastAsia="仿宋" w:cs="仿宋"/>
          <w:b w:val="0"/>
          <w:bCs w:val="0"/>
          <w:sz w:val="32"/>
          <w:szCs w:val="32"/>
          <w:highlight w:val="none"/>
          <w:lang w:val="en-US" w:eastAsia="zh-CN"/>
        </w:rPr>
        <w:t>业务</w:t>
      </w:r>
      <w:r>
        <w:rPr>
          <w:rFonts w:hint="eastAsia" w:ascii="仿宋" w:hAnsi="仿宋" w:eastAsia="仿宋" w:cs="仿宋"/>
          <w:b w:val="0"/>
          <w:bCs w:val="0"/>
          <w:sz w:val="32"/>
          <w:szCs w:val="32"/>
          <w:highlight w:val="none"/>
        </w:rPr>
        <w:t>经费项目”、“巴彦淖尔市冬季清洁取暖项目工作经费”、“城市体检经费”</w:t>
      </w:r>
      <w:r>
        <w:rPr>
          <w:rFonts w:hint="eastAsia" w:ascii="仿宋" w:hAnsi="仿宋" w:eastAsia="仿宋" w:cs="仿宋"/>
          <w:b w:val="0"/>
          <w:bCs w:val="0"/>
          <w:sz w:val="32"/>
          <w:szCs w:val="32"/>
          <w:highlight w:val="none"/>
          <w:lang w:eastAsia="zh-CN"/>
        </w:rPr>
        <w:t>、“市直单位驻村干部工作补贴”、“天然气储气设施租赁费”</w:t>
      </w:r>
      <w:r>
        <w:rPr>
          <w:rFonts w:hint="eastAsia" w:ascii="仿宋" w:hAnsi="仿宋" w:eastAsia="仿宋" w:cs="仿宋"/>
          <w:b w:val="0"/>
          <w:bCs w:val="0"/>
          <w:sz w:val="32"/>
          <w:szCs w:val="32"/>
          <w:highlight w:val="none"/>
        </w:rPr>
        <w:t>等</w:t>
      </w:r>
      <w:r>
        <w:rPr>
          <w:rFonts w:hint="eastAsia" w:ascii="仿宋" w:hAnsi="仿宋" w:eastAsia="仿宋" w:cs="仿宋"/>
          <w:b w:val="0"/>
          <w:bCs w:val="0"/>
          <w:sz w:val="32"/>
          <w:szCs w:val="32"/>
          <w:highlight w:val="none"/>
          <w:u w:val="single"/>
          <w:lang w:val="en-US" w:eastAsia="zh-CN"/>
        </w:rPr>
        <w:t>7</w:t>
      </w:r>
      <w:r>
        <w:rPr>
          <w:rFonts w:hint="eastAsia" w:ascii="仿宋" w:hAnsi="仿宋" w:eastAsia="仿宋" w:cs="仿宋"/>
          <w:b w:val="0"/>
          <w:bCs w:val="0"/>
          <w:sz w:val="32"/>
          <w:szCs w:val="32"/>
          <w:highlight w:val="none"/>
        </w:rPr>
        <w:t>个项目开展了单位评价，涉及一般公共预算支出</w:t>
      </w:r>
      <w:r>
        <w:rPr>
          <w:rFonts w:hint="eastAsia" w:ascii="仿宋" w:hAnsi="仿宋" w:eastAsia="仿宋" w:cs="仿宋"/>
          <w:b w:val="0"/>
          <w:bCs w:val="0"/>
          <w:sz w:val="32"/>
          <w:szCs w:val="32"/>
          <w:highlight w:val="none"/>
          <w:u w:val="single"/>
          <w:lang w:val="en-US" w:eastAsia="zh-CN"/>
        </w:rPr>
        <w:t>187.28</w:t>
      </w:r>
      <w:r>
        <w:rPr>
          <w:rFonts w:hint="eastAsia" w:ascii="仿宋" w:hAnsi="仿宋" w:eastAsia="仿宋" w:cs="仿宋"/>
          <w:b w:val="0"/>
          <w:bCs w:val="0"/>
          <w:sz w:val="32"/>
          <w:szCs w:val="32"/>
          <w:highlight w:val="none"/>
        </w:rPr>
        <w:t>万元，政府性基金支出</w:t>
      </w:r>
      <w:r>
        <w:rPr>
          <w:rFonts w:hint="eastAsia" w:ascii="仿宋" w:hAnsi="仿宋" w:eastAsia="仿宋" w:cs="仿宋"/>
          <w:b w:val="0"/>
          <w:bCs w:val="0"/>
          <w:sz w:val="32"/>
          <w:szCs w:val="32"/>
          <w:highlight w:val="none"/>
          <w:u w:val="single"/>
          <w:lang w:val="en-US" w:eastAsia="zh-CN"/>
        </w:rPr>
        <w:t>84.06</w:t>
      </w:r>
      <w:r>
        <w:rPr>
          <w:rFonts w:hint="eastAsia" w:ascii="仿宋" w:hAnsi="仿宋" w:eastAsia="仿宋" w:cs="仿宋"/>
          <w:b w:val="0"/>
          <w:bCs w:val="0"/>
          <w:sz w:val="32"/>
          <w:szCs w:val="32"/>
          <w:highlight w:val="none"/>
        </w:rPr>
        <w:t>万元。其中，对“城市精细化管理</w:t>
      </w:r>
      <w:r>
        <w:rPr>
          <w:rFonts w:hint="eastAsia" w:ascii="仿宋" w:hAnsi="仿宋" w:eastAsia="仿宋" w:cs="仿宋"/>
          <w:b w:val="0"/>
          <w:bCs w:val="0"/>
          <w:sz w:val="32"/>
          <w:szCs w:val="32"/>
          <w:highlight w:val="none"/>
          <w:lang w:val="en-US" w:eastAsia="zh-CN"/>
        </w:rPr>
        <w:t>业务</w:t>
      </w:r>
      <w:r>
        <w:rPr>
          <w:rFonts w:hint="eastAsia" w:ascii="仿宋" w:hAnsi="仿宋" w:eastAsia="仿宋" w:cs="仿宋"/>
          <w:b w:val="0"/>
          <w:bCs w:val="0"/>
          <w:sz w:val="32"/>
          <w:szCs w:val="32"/>
          <w:highlight w:val="none"/>
        </w:rPr>
        <w:t>经费项目”、“巴彦淖尔市冬季清洁取暖项目工作经费”、“城市体检经费”</w:t>
      </w:r>
      <w:r>
        <w:rPr>
          <w:rFonts w:hint="eastAsia" w:ascii="仿宋" w:hAnsi="仿宋" w:eastAsia="仿宋" w:cs="仿宋"/>
          <w:b w:val="0"/>
          <w:bCs w:val="0"/>
          <w:sz w:val="32"/>
          <w:szCs w:val="32"/>
          <w:highlight w:val="none"/>
          <w:lang w:eastAsia="zh-CN"/>
        </w:rPr>
        <w:t>、“市直单位驻村干部工作补贴”、“天然气储气设施租赁费”</w:t>
      </w:r>
      <w:r>
        <w:rPr>
          <w:rFonts w:hint="eastAsia" w:ascii="仿宋" w:hAnsi="仿宋" w:eastAsia="仿宋" w:cs="仿宋"/>
          <w:b w:val="0"/>
          <w:bCs w:val="0"/>
          <w:sz w:val="32"/>
          <w:szCs w:val="32"/>
          <w:highlight w:val="none"/>
        </w:rPr>
        <w:t>等</w:t>
      </w:r>
      <w:r>
        <w:rPr>
          <w:rFonts w:hint="eastAsia" w:ascii="仿宋" w:hAnsi="仿宋" w:eastAsia="仿宋" w:cs="仿宋"/>
          <w:b w:val="0"/>
          <w:bCs w:val="0"/>
          <w:sz w:val="32"/>
          <w:szCs w:val="32"/>
          <w:highlight w:val="none"/>
          <w:u w:val="none"/>
          <w:lang w:val="en-US" w:eastAsia="zh-CN"/>
        </w:rPr>
        <w:t>7个</w:t>
      </w:r>
      <w:r>
        <w:rPr>
          <w:rFonts w:hint="eastAsia" w:ascii="仿宋" w:hAnsi="仿宋" w:eastAsia="仿宋" w:cs="仿宋"/>
          <w:b w:val="0"/>
          <w:bCs w:val="0"/>
          <w:sz w:val="32"/>
          <w:szCs w:val="32"/>
          <w:highlight w:val="none"/>
        </w:rPr>
        <w:t>项目分别委托相关第三方机构开展绩效评价。从评价情况看，以上项目</w:t>
      </w:r>
      <w:r>
        <w:rPr>
          <w:rFonts w:hint="eastAsia" w:ascii="FangSong_GB2312" w:hAnsi="FangSong_GB2312" w:eastAsia="FangSong_GB2312" w:cs="FangSong_GB2312"/>
          <w:kern w:val="0"/>
          <w:sz w:val="32"/>
          <w:szCs w:val="32"/>
        </w:rPr>
        <w:t>基本完成了期初设置的绩效目标</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rPr>
        <w:t>我局202</w:t>
      </w:r>
      <w:r>
        <w:rPr>
          <w:rFonts w:hint="eastAsia" w:ascii="FangSong_GB2312" w:hAnsi="FangSong_GB2312" w:eastAsia="FangSong_GB2312" w:cs="FangSong_GB2312"/>
          <w:kern w:val="0"/>
          <w:sz w:val="32"/>
          <w:szCs w:val="32"/>
          <w:lang w:val="en-US" w:eastAsia="zh-CN"/>
        </w:rPr>
        <w:t>5</w:t>
      </w:r>
      <w:r>
        <w:rPr>
          <w:rFonts w:hint="eastAsia" w:ascii="FangSong_GB2312" w:hAnsi="FangSong_GB2312" w:eastAsia="FangSong_GB2312" w:cs="FangSong_GB2312"/>
          <w:kern w:val="0"/>
          <w:sz w:val="32"/>
          <w:szCs w:val="32"/>
        </w:rPr>
        <w:t>年全年面对改革发展稳定的繁重任务，全市住建系统坚持以习近平新时代中国特色社会主义思想为指引，深入贯彻落实党的二十大精神，在市委市政府的坚强领导下，紧扣铸牢中华民族共同体意识这条主线，聚焦聚力办好“两件大事”，攻坚克难、真抓实干，稳增长、惠民生、防风险、促 转型、增动能，出色地完成了各项目标任务，全市住建事业取得了新进步、新成效。</w:t>
      </w:r>
    </w:p>
    <w:p w14:paraId="0A7D1F8B">
      <w:pPr>
        <w:ind w:firstLine="643" w:firstLineChars="20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（二）部门（单位）决算中项目绩效自评结果。</w:t>
      </w:r>
    </w:p>
    <w:p w14:paraId="0D6D7226">
      <w:pPr>
        <w:pStyle w:val="6"/>
        <w:spacing w:after="0" w:line="560" w:lineRule="exact"/>
        <w:ind w:firstLine="640" w:firstLineChars="200"/>
        <w:rPr>
          <w:rFonts w:hint="eastAsia" w:ascii="仿宋" w:hAnsi="仿宋" w:eastAsia="仿宋" w:cs="仿宋"/>
          <w:b w:val="0"/>
          <w:bCs w:val="0"/>
          <w:sz w:val="32"/>
          <w:szCs w:val="32"/>
          <w:highlight w:val="none"/>
        </w:rPr>
      </w:pPr>
      <w:r>
        <w:rPr>
          <w:rFonts w:ascii="FangSong_GB2312" w:hAnsi="FangSong_GB2312" w:eastAsia="FangSong_GB2312" w:cs="FangSong_GB2312"/>
          <w:kern w:val="0"/>
          <w:sz w:val="32"/>
          <w:szCs w:val="32"/>
        </w:rPr>
        <w:t>巴彦淖尔市住房和城乡建设局</w:t>
      </w:r>
      <w:r>
        <w:rPr>
          <w:rFonts w:hint="eastAsia" w:ascii="FangSong_GB2312" w:hAnsi="FangSong_GB2312" w:eastAsia="FangSong_GB2312" w:cs="FangSong_GB2312"/>
          <w:kern w:val="0"/>
          <w:sz w:val="32"/>
          <w:szCs w:val="32"/>
          <w:lang w:eastAsia="zh-CN"/>
        </w:rPr>
        <w:t>（</w:t>
      </w:r>
      <w:r>
        <w:rPr>
          <w:rFonts w:hint="eastAsia" w:ascii="FangSong_GB2312" w:hAnsi="FangSong_GB2312" w:eastAsia="FangSong_GB2312" w:cs="FangSong_GB2312"/>
          <w:kern w:val="0"/>
          <w:sz w:val="32"/>
          <w:szCs w:val="32"/>
          <w:lang w:val="en-US" w:eastAsia="zh-CN"/>
        </w:rPr>
        <w:t>本级</w:t>
      </w:r>
      <w:r>
        <w:rPr>
          <w:rFonts w:hint="eastAsia" w:ascii="FangSong_GB2312" w:hAnsi="FangSong_GB2312" w:eastAsia="FangSong_GB2312" w:cs="FangSong_GB2312"/>
          <w:kern w:val="0"/>
          <w:sz w:val="32"/>
          <w:szCs w:val="32"/>
          <w:lang w:eastAsia="zh-CN"/>
        </w:rPr>
        <w:t>）</w:t>
      </w:r>
      <w:r>
        <w:rPr>
          <w:rFonts w:eastAsia="Times New Roman"/>
          <w:kern w:val="0"/>
          <w:sz w:val="32"/>
          <w:szCs w:val="32"/>
          <w:lang w:eastAsia="en-US"/>
        </w:rPr>
        <w:t>2025</w:t>
      </w:r>
      <w:r>
        <w:rPr>
          <w:rFonts w:ascii="FangSong_GB2312" w:hAnsi="FangSong_GB2312" w:eastAsia="FangSong_GB2312" w:cs="FangSong_GB2312"/>
          <w:kern w:val="0"/>
          <w:sz w:val="32"/>
          <w:szCs w:val="32"/>
        </w:rPr>
        <w:t>年度在决算中反映</w:t>
      </w:r>
      <w:r>
        <w:rPr>
          <w:rFonts w:hint="eastAsia" w:ascii="FangSong_GB2312" w:hAnsi="FangSong_GB2312" w:eastAsia="FangSong_GB2312" w:cs="FangSong_GB2312"/>
          <w:kern w:val="0"/>
          <w:sz w:val="32"/>
          <w:szCs w:val="32"/>
          <w:lang w:val="en-US" w:eastAsia="zh-CN"/>
        </w:rPr>
        <w:t>5</w:t>
      </w:r>
      <w:r>
        <w:rPr>
          <w:rFonts w:ascii="FangSong_GB2312" w:hAnsi="FangSong_GB2312" w:eastAsia="FangSong_GB2312" w:cs="FangSong_GB2312"/>
          <w:kern w:val="0"/>
          <w:sz w:val="32"/>
          <w:szCs w:val="32"/>
        </w:rPr>
        <w:t>个一般公共预算项目的绩效自评结果</w:t>
      </w:r>
      <w:r>
        <w:rPr>
          <w:rFonts w:hint="eastAsia" w:ascii="仿宋" w:hAnsi="仿宋" w:eastAsia="仿宋" w:cs="仿宋"/>
          <w:b w:val="0"/>
          <w:bCs w:val="0"/>
          <w:sz w:val="32"/>
          <w:szCs w:val="32"/>
          <w:highlight w:val="none"/>
        </w:rPr>
        <w:t>。</w:t>
      </w:r>
    </w:p>
    <w:p w14:paraId="743D4FD9">
      <w:pPr>
        <w:pStyle w:val="13"/>
        <w:widowControl/>
        <w:numPr>
          <w:ilvl w:val="0"/>
          <w:numId w:val="3"/>
        </w:numPr>
        <w:spacing w:before="240" w:after="240" w:line="560" w:lineRule="atLeast"/>
        <w:ind w:firstLine="640"/>
        <w:jc w:val="left"/>
        <w:rPr>
          <w:rFonts w:hint="eastAsia" w:ascii="FangSong_GB2312" w:hAnsi="FangSong_GB2312" w:eastAsia="FangSong_GB2312" w:cs="FangSong_GB2312"/>
          <w:kern w:val="0"/>
          <w:sz w:val="32"/>
          <w:szCs w:val="32"/>
        </w:rPr>
      </w:pPr>
      <w:bookmarkStart w:id="1" w:name="OLE_LINK3"/>
      <w:r>
        <w:rPr>
          <w:rFonts w:hint="eastAsia" w:ascii="FangSong_GB2312" w:hAnsi="FangSong_GB2312" w:eastAsia="FangSong_GB2312" w:cs="FangSong_GB2312"/>
          <w:kern w:val="0"/>
          <w:sz w:val="32"/>
          <w:szCs w:val="32"/>
        </w:rPr>
        <w:t>城市精细化管理工作经费</w:t>
      </w:r>
      <w:r>
        <w:rPr>
          <w:rFonts w:ascii="FangSong_GB2312" w:hAnsi="FangSong_GB2312" w:eastAsia="FangSong_GB2312" w:cs="FangSong_GB2312"/>
          <w:kern w:val="0"/>
          <w:sz w:val="32"/>
          <w:szCs w:val="32"/>
        </w:rPr>
        <w:t>项目自评综述：根据年初设定的绩效目标，项目自评得分</w:t>
      </w:r>
      <w:r>
        <w:rPr>
          <w:rFonts w:hint="eastAsia" w:eastAsia="宋体"/>
          <w:kern w:val="0"/>
          <w:sz w:val="32"/>
          <w:szCs w:val="32"/>
          <w:u w:val="single"/>
          <w:lang w:val="en-US" w:eastAsia="zh-CN"/>
        </w:rPr>
        <w:t>99.96</w:t>
      </w:r>
      <w:r>
        <w:rPr>
          <w:rFonts w:ascii="FangSong_GB2312" w:hAnsi="FangSong_GB2312" w:eastAsia="FangSong_GB2312" w:cs="FangSong_GB2312"/>
          <w:kern w:val="0"/>
          <w:sz w:val="32"/>
          <w:szCs w:val="32"/>
        </w:rPr>
        <w:t>分。全年预算数为</w:t>
      </w:r>
      <w:r>
        <w:rPr>
          <w:rFonts w:hint="eastAsia" w:eastAsia="宋体"/>
          <w:kern w:val="0"/>
          <w:sz w:val="32"/>
          <w:szCs w:val="32"/>
          <w:u w:val="single"/>
          <w:lang w:val="en-US" w:eastAsia="zh-CN"/>
        </w:rPr>
        <w:t>45</w:t>
      </w:r>
      <w:r>
        <w:rPr>
          <w:rFonts w:ascii="FangSong_GB2312" w:hAnsi="FangSong_GB2312" w:eastAsia="FangSong_GB2312" w:cs="FangSong_GB2312"/>
          <w:kern w:val="0"/>
          <w:sz w:val="32"/>
          <w:szCs w:val="32"/>
        </w:rPr>
        <w:t>万元，执行数为</w:t>
      </w:r>
      <w:r>
        <w:rPr>
          <w:rFonts w:hint="eastAsia" w:eastAsia="宋体"/>
          <w:kern w:val="0"/>
          <w:sz w:val="32"/>
          <w:szCs w:val="32"/>
          <w:u w:val="single"/>
          <w:lang w:val="en-US" w:eastAsia="zh-CN"/>
        </w:rPr>
        <w:t>47.8</w:t>
      </w:r>
      <w:r>
        <w:rPr>
          <w:rFonts w:ascii="FangSong_GB2312" w:hAnsi="FangSong_GB2312" w:eastAsia="FangSong_GB2312" w:cs="FangSong_GB2312"/>
          <w:kern w:val="0"/>
          <w:sz w:val="32"/>
          <w:szCs w:val="32"/>
        </w:rPr>
        <w:t>万元，完成预算的</w:t>
      </w:r>
      <w:r>
        <w:rPr>
          <w:rFonts w:hint="eastAsia" w:eastAsia="宋体"/>
          <w:kern w:val="0"/>
          <w:sz w:val="32"/>
          <w:szCs w:val="32"/>
          <w:u w:val="single"/>
          <w:lang w:val="en-US" w:eastAsia="zh-CN"/>
        </w:rPr>
        <w:t>99.64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项目年度绩效指标完成情况较好，执行过程中产生了良好的社会效益，达到了预期的绩效目标。</w:t>
      </w:r>
      <w:bookmarkStart w:id="2" w:name="OLE_LINK2"/>
      <w:r>
        <w:rPr>
          <w:rFonts w:hint="eastAsia" w:ascii="FangSong_GB2312" w:hAnsi="FangSong_GB2312" w:eastAsia="FangSong_GB2312" w:cs="FangSong_GB2312"/>
          <w:kern w:val="0"/>
          <w:sz w:val="32"/>
          <w:szCs w:val="32"/>
        </w:rPr>
        <w:t>发现的主要问题及原因</w:t>
      </w:r>
      <w:bookmarkEnd w:id="2"/>
      <w:r>
        <w:rPr>
          <w:rFonts w:hint="eastAsia" w:ascii="FangSong_GB2312" w:hAnsi="FangSong_GB2312" w:eastAsia="FangSong_GB2312" w:cs="FangSong_GB2312"/>
          <w:kern w:val="0"/>
          <w:sz w:val="32"/>
          <w:szCs w:val="32"/>
        </w:rPr>
        <w:t>：（1）项目立项、实施存在问题。（2）资金管理使用存在问题。下一步改进措施：</w:t>
      </w:r>
      <w:bookmarkEnd w:id="1"/>
      <w:r>
        <w:rPr>
          <w:rFonts w:hint="eastAsia" w:ascii="FangSong_GB2312" w:hAnsi="FangSong_GB2312" w:eastAsia="FangSong_GB2312" w:cs="FangSong_GB2312"/>
          <w:kern w:val="0"/>
          <w:sz w:val="32"/>
          <w:szCs w:val="32"/>
        </w:rPr>
        <w:t>（1）项目成果的备份与管理：项目的成果要进行备份管理，确保成果的安全可靠，在备份的过程中，我们需要确保数据的完整性和一致性。（2）成果的推广和应用：在项目中取得的成果需要进行充 分的推广和应用，通过专门的会议、培训、宣传等形式，让成果得到更多的认可和使用。（3）团队的能力建设：在执行项目的过程中，我们需要不断提升团队的能力水平，让团队成员能够不断地学习和进步。同时，也需要进行团队成员的能力评估，鼓励优秀的成员，补充短板。</w:t>
      </w:r>
    </w:p>
    <w:p w14:paraId="1FB8DB56">
      <w:pPr>
        <w:pStyle w:val="13"/>
        <w:widowControl/>
        <w:numPr>
          <w:ilvl w:val="0"/>
          <w:numId w:val="0"/>
        </w:numPr>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0500" cy="4450080"/>
            <wp:effectExtent l="0" t="0" r="0" b="7620"/>
            <wp:docPr id="1" name="图片 1" descr="befedf80f451a52badaa4c58da9fd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efedf80f451a52badaa4c58da9fde25"/>
                    <pic:cNvPicPr>
                      <a:picLocks noChangeAspect="1"/>
                    </pic:cNvPicPr>
                  </pic:nvPicPr>
                  <pic:blipFill>
                    <a:blip r:embed="rId7"/>
                    <a:stretch>
                      <a:fillRect/>
                    </a:stretch>
                  </pic:blipFill>
                  <pic:spPr>
                    <a:xfrm>
                      <a:off x="0" y="0"/>
                      <a:ext cx="5270500" cy="4450080"/>
                    </a:xfrm>
                    <a:prstGeom prst="rect">
                      <a:avLst/>
                    </a:prstGeom>
                  </pic:spPr>
                </pic:pic>
              </a:graphicData>
            </a:graphic>
          </wp:inline>
        </w:drawing>
      </w:r>
    </w:p>
    <w:p w14:paraId="1E804449">
      <w:pPr>
        <w:pStyle w:val="13"/>
        <w:widowControl/>
        <w:numPr>
          <w:ilvl w:val="0"/>
          <w:numId w:val="3"/>
        </w:numPr>
        <w:spacing w:before="240" w:after="240" w:line="560" w:lineRule="atLeast"/>
        <w:ind w:left="0" w:leftChars="0" w:firstLine="640" w:firstLineChars="0"/>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en-US"/>
        </w:rPr>
        <w:t>市直单位驻村干部工作补贴</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100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2.4</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2.4</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本年度驻村干部工作补贴项目有序实施，全面完成既定绩效目标。项目资金专款专用、拨付规范，主要用于保障驻村干部生活、通勤、通讯等履职需求，有效解决驻村干部基层工作保障难题，稳定驻村工作力量，保障驻村干部常态化下沉基层开展帮扶、民生服务及基层治理工作，较好发挥了资金保障效能。发现的主要问题及原因：一是绩效指标量化度不足，指标偏宏观，对资金使用成效细化考核不够。二是日常绩效动态监控力度偏弱，重资金合规管理、轻效益跟踪。主要原因是项目为保障性补助性质，日常管理侧重资金规范使用，精细化绩效管理意识和常态化跟踪机制不够完善。下一步改进措施：进一步细化量化绩效指标，提升目标精准度。强化项目全过程绩效监控，完善台账管理，加强资金使用与履职成效联动核查。深化绩效结果运用，持续规范资金管理，切实提升专项资金保障效益</w:t>
      </w:r>
      <w:r>
        <w:rPr>
          <w:rFonts w:hint="eastAsia" w:ascii="FangSong_GB2312" w:hAnsi="FangSong_GB2312" w:eastAsia="FangSong_GB2312" w:cs="FangSong_GB2312"/>
          <w:kern w:val="0"/>
          <w:sz w:val="32"/>
          <w:szCs w:val="32"/>
          <w:lang w:eastAsia="zh-CN"/>
        </w:rPr>
        <w:t>。</w:t>
      </w:r>
    </w:p>
    <w:p w14:paraId="208E60F2">
      <w:pPr>
        <w:pStyle w:val="13"/>
        <w:widowControl/>
        <w:numPr>
          <w:ilvl w:val="0"/>
          <w:numId w:val="0"/>
        </w:numPr>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1135" cy="4161155"/>
            <wp:effectExtent l="0" t="0" r="12065" b="4445"/>
            <wp:docPr id="10" name="图片 10" descr="驻村干部工作补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驻村干部工作补贴"/>
                    <pic:cNvPicPr>
                      <a:picLocks noChangeAspect="1"/>
                    </pic:cNvPicPr>
                  </pic:nvPicPr>
                  <pic:blipFill>
                    <a:blip r:embed="rId8"/>
                    <a:stretch>
                      <a:fillRect/>
                    </a:stretch>
                  </pic:blipFill>
                  <pic:spPr>
                    <a:xfrm>
                      <a:off x="0" y="0"/>
                      <a:ext cx="5271135" cy="4161155"/>
                    </a:xfrm>
                    <a:prstGeom prst="rect">
                      <a:avLst/>
                    </a:prstGeom>
                  </pic:spPr>
                </pic:pic>
              </a:graphicData>
            </a:graphic>
          </wp:inline>
        </w:drawing>
      </w:r>
    </w:p>
    <w:p w14:paraId="63D8A55C">
      <w:pPr>
        <w:pStyle w:val="6"/>
        <w:numPr>
          <w:ilvl w:val="0"/>
          <w:numId w:val="3"/>
        </w:numPr>
        <w:spacing w:after="0" w:line="560" w:lineRule="exact"/>
        <w:ind w:left="0" w:leftChars="0" w:firstLine="640" w:firstLineChars="0"/>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t>冬季清洁能源取暖项目自评综述：根据年初设定的绩效目标，项目自评得分 96.63分。全年预算数为31.8万元，执行数为31.8万元，完成预算的100%。项目绩效目标完成情况：完成了全部核心指标目标，改善了临河城区街景及设施,提升了城市景观水平。发现的主要问题及原因： 1.项目立项、实施存在问题。2.资金管理使用存在问题。下一步改进措施：一是加大宣传培训和交流力度，在全单位进一步树立“花钱必问效，无效必问责”的绩效理念，同时及时交流共享各地、各单位的先进做法和成功经验，尽快提高工作人员专业能力和业务水平。二是建立健全管理制度，进一步强化预算绩效管理的制度约束，将绩效理念和方法深入融入预算编制、执行、监督全过程，为实现绩效管理工作的科学化和规范化提供了制度保障。三是完善指标体系，促进绩效管理质量提升，切实提高指标设定的科学性、合理性和规范性。四是强化激励约束，将评价结果用于制定政策、完善制度和编制规划，用于调整预算规模和优化支出结构。</w:t>
      </w:r>
    </w:p>
    <w:p w14:paraId="71A2C938">
      <w:pPr>
        <w:pStyle w:val="6"/>
        <w:numPr>
          <w:ilvl w:val="0"/>
          <w:numId w:val="3"/>
        </w:numPr>
        <w:spacing w:after="0" w:line="560" w:lineRule="exact"/>
        <w:ind w:left="0" w:leftChars="0" w:firstLine="640" w:firstLineChars="0"/>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lang w:val="en-US" w:eastAsia="zh-CN"/>
        </w:rPr>
        <w:drawing>
          <wp:anchor distT="0" distB="0" distL="114300" distR="114300" simplePos="0" relativeHeight="251661312" behindDoc="0" locked="0" layoutInCell="1" allowOverlap="1">
            <wp:simplePos x="0" y="0"/>
            <wp:positionH relativeFrom="column">
              <wp:posOffset>-71755</wp:posOffset>
            </wp:positionH>
            <wp:positionV relativeFrom="paragraph">
              <wp:posOffset>49530</wp:posOffset>
            </wp:positionV>
            <wp:extent cx="5264150" cy="3428365"/>
            <wp:effectExtent l="0" t="0" r="6350" b="635"/>
            <wp:wrapTopAndBottom/>
            <wp:docPr id="3" name="图片 3" descr="1e588103-1e36-44ae-9c37-4d2031922a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e588103-1e36-44ae-9c37-4d2031922a61"/>
                    <pic:cNvPicPr>
                      <a:picLocks noChangeAspect="1"/>
                    </pic:cNvPicPr>
                  </pic:nvPicPr>
                  <pic:blipFill>
                    <a:blip r:embed="rId9"/>
                    <a:stretch>
                      <a:fillRect/>
                    </a:stretch>
                  </pic:blipFill>
                  <pic:spPr>
                    <a:xfrm>
                      <a:off x="0" y="0"/>
                      <a:ext cx="5264150" cy="3428365"/>
                    </a:xfrm>
                    <a:prstGeom prst="rect">
                      <a:avLst/>
                    </a:prstGeom>
                  </pic:spPr>
                </pic:pic>
              </a:graphicData>
            </a:graphic>
          </wp:anchor>
        </w:drawing>
      </w:r>
      <w:r>
        <w:rPr>
          <w:rFonts w:hint="eastAsia" w:ascii="仿宋" w:hAnsi="仿宋" w:eastAsia="仿宋" w:cs="仿宋"/>
          <w:b w:val="0"/>
          <w:bCs w:val="0"/>
          <w:kern w:val="2"/>
          <w:sz w:val="32"/>
          <w:szCs w:val="32"/>
          <w:highlight w:val="none"/>
          <w:lang w:val="en-US" w:eastAsia="zh-CN" w:bidi="ar-SA"/>
        </w:rPr>
        <w:t>天然气储气设施建设项目自评综述：根据年初设定的绩效目标，项目自评得分100分。全年预算数为20.7万元，执行数为20.7万元，完成预算的100%。项目绩效目标完成情况：项目年度绩效指标完成情况较好，执行过程中产生了良好的 社会效益，达到了预取的绩效目标。发现的主要问题及原因：（1）项目立项、实施存在问题。（2）资金管理使用存在问题。下一步改进措施：（1）责任分工明确.为保证此项目顺利开展，市住建局实行具体项目分工负责制，人员职责划分清晰。科学有效的管理组织机构及人员设置有利于保障项目的顺利进行。（2）管理制度健全。（3）财务管理制度。市住建局按照财政部门的要求，在财政部门财务管理规范指引下，结合项目实际制定了相应的财务管理制度。（4）业务管理制度。市住建局针对绩效管理不同层面的要求以及各执行部门的工作职责，制定了包括内部协调、工作流程、评价范本等一系列业务规范。</w:t>
      </w:r>
      <w:r>
        <w:rPr>
          <w:rFonts w:hint="eastAsia" w:ascii="仿宋" w:hAnsi="仿宋" w:eastAsia="仿宋" w:cs="仿宋"/>
          <w:b w:val="0"/>
          <w:bCs w:val="0"/>
          <w:sz w:val="32"/>
          <w:szCs w:val="32"/>
          <w:highlight w:val="none"/>
          <w:lang w:val="en-US" w:eastAsia="zh-CN"/>
        </w:rPr>
        <w:drawing>
          <wp:anchor distT="0" distB="0" distL="114300" distR="114300" simplePos="0" relativeHeight="251662336" behindDoc="0" locked="0" layoutInCell="1" allowOverlap="1">
            <wp:simplePos x="0" y="0"/>
            <wp:positionH relativeFrom="column">
              <wp:posOffset>17145</wp:posOffset>
            </wp:positionH>
            <wp:positionV relativeFrom="page">
              <wp:posOffset>5235575</wp:posOffset>
            </wp:positionV>
            <wp:extent cx="5271770" cy="3295015"/>
            <wp:effectExtent l="0" t="0" r="11430" b="6985"/>
            <wp:wrapTopAndBottom/>
            <wp:docPr id="4" name="图片 4" descr="126a752f-af6c-4d6c-b325-ab15d31de2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26a752f-af6c-4d6c-b325-ab15d31de26f"/>
                    <pic:cNvPicPr>
                      <a:picLocks noChangeAspect="1"/>
                    </pic:cNvPicPr>
                  </pic:nvPicPr>
                  <pic:blipFill>
                    <a:blip r:embed="rId10"/>
                    <a:stretch>
                      <a:fillRect/>
                    </a:stretch>
                  </pic:blipFill>
                  <pic:spPr>
                    <a:xfrm>
                      <a:off x="0" y="0"/>
                      <a:ext cx="5271770" cy="3295015"/>
                    </a:xfrm>
                    <a:prstGeom prst="rect">
                      <a:avLst/>
                    </a:prstGeom>
                  </pic:spPr>
                </pic:pic>
              </a:graphicData>
            </a:graphic>
          </wp:anchor>
        </w:drawing>
      </w:r>
    </w:p>
    <w:p w14:paraId="670AF424">
      <w:pPr>
        <w:pStyle w:val="6"/>
        <w:numPr>
          <w:ilvl w:val="0"/>
          <w:numId w:val="3"/>
        </w:numPr>
        <w:spacing w:after="0" w:line="560" w:lineRule="exact"/>
        <w:ind w:left="0" w:leftChars="0" w:firstLine="640" w:firstLineChars="0"/>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t>城市体检经费自评综述：根据年初设定的绩效目标，项目自评得分100分。全年预算数为20万元，执行数为20万元，完成预算的100%。项目绩效目标完成情况：核心绩效指标完成良好，已完成城区建成区重点区域体检覆盖，形成城市基础设施短板、生态环境质量等专项体检报告，提出的20余项整改建议中15项已纳入城市更新规划，为城市规划优化提供了数据支撑，达到预期绩效目标。发现的主要问题及原因：（1）体检范围存在盲区，部分偏远街道未纳入，因前期调研未充分衔接街道需求；（2）资金使用进度不均衡，前期体检采样阶段支出较慢，因第三方机构招标流程耗时较长。下一步改进措施：一是优化前期调研流程，联合街道办摸排需求，确保体检范围全覆盖；二是提前启动第三方机构招标筹备，压缩流程耗时，同步建立资金使用周跟踪机制，保障支出均衡；三是完善体检成果反馈机制，定期对接规划、城管等部门，提升整改建议转化率。</w:t>
      </w:r>
    </w:p>
    <w:p w14:paraId="02165641">
      <w:pPr>
        <w:pStyle w:val="6"/>
        <w:numPr>
          <w:ilvl w:val="0"/>
          <w:numId w:val="0"/>
        </w:numPr>
        <w:spacing w:after="0" w:line="560" w:lineRule="exact"/>
        <w:rPr>
          <w:rFonts w:hint="eastAsia" w:ascii="仿宋" w:hAnsi="仿宋" w:eastAsia="仿宋" w:cs="仿宋"/>
          <w:b w:val="0"/>
          <w:bCs w:val="0"/>
          <w:kern w:val="2"/>
          <w:sz w:val="32"/>
          <w:szCs w:val="32"/>
          <w:highlight w:val="none"/>
          <w:lang w:val="en-US" w:eastAsia="zh-CN" w:bidi="ar-SA"/>
        </w:rPr>
      </w:pPr>
      <w:r>
        <w:rPr>
          <w:rFonts w:hint="eastAsia" w:ascii="仿宋" w:hAnsi="仿宋" w:eastAsia="仿宋" w:cs="仿宋"/>
          <w:b w:val="0"/>
          <w:bCs w:val="0"/>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-15240</wp:posOffset>
            </wp:positionH>
            <wp:positionV relativeFrom="page">
              <wp:posOffset>5329555</wp:posOffset>
            </wp:positionV>
            <wp:extent cx="5260340" cy="3125470"/>
            <wp:effectExtent l="0" t="0" r="10160" b="11430"/>
            <wp:wrapTopAndBottom/>
            <wp:docPr id="6" name="图片 6" descr="718d8fa4-e8fc-4458-90b6-bbd74ae0bd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18d8fa4-e8fc-4458-90b6-bbd74ae0bd7f"/>
                    <pic:cNvPicPr>
                      <a:picLocks noChangeAspect="1"/>
                    </pic:cNvPicPr>
                  </pic:nvPicPr>
                  <pic:blipFill>
                    <a:blip r:embed="rId11"/>
                    <a:stretch>
                      <a:fillRect/>
                    </a:stretch>
                  </pic:blipFill>
                  <pic:spPr>
                    <a:xfrm>
                      <a:off x="0" y="0"/>
                      <a:ext cx="5260340" cy="3125470"/>
                    </a:xfrm>
                    <a:prstGeom prst="rect">
                      <a:avLst/>
                    </a:prstGeom>
                  </pic:spPr>
                </pic:pic>
              </a:graphicData>
            </a:graphic>
          </wp:anchor>
        </w:drawing>
      </w:r>
    </w:p>
    <w:p w14:paraId="10A69844">
      <w:pPr>
        <w:ind w:firstLine="643" w:firstLineChars="200"/>
        <w:rPr>
          <w:rFonts w:hint="eastAsia" w:ascii="黑体" w:hAnsi="黑体" w:eastAsia="黑体" w:cs="黑体"/>
          <w:b/>
          <w:bCs/>
          <w:sz w:val="32"/>
          <w:szCs w:val="32"/>
          <w:highlight w:val="none"/>
        </w:rPr>
      </w:pPr>
      <w:r>
        <w:rPr>
          <w:rFonts w:hint="eastAsia" w:ascii="黑体" w:hAnsi="黑体" w:eastAsia="黑体" w:cs="黑体"/>
          <w:b/>
          <w:bCs/>
          <w:sz w:val="32"/>
          <w:szCs w:val="32"/>
          <w:highlight w:val="none"/>
        </w:rPr>
        <w:t>（三）部门</w:t>
      </w:r>
      <w:r>
        <w:rPr>
          <w:rFonts w:hint="eastAsia" w:ascii="黑体" w:hAnsi="黑体" w:eastAsia="黑体" w:cs="黑体"/>
          <w:b/>
          <w:bCs/>
          <w:sz w:val="32"/>
          <w:szCs w:val="32"/>
          <w:highlight w:val="none"/>
          <w:lang w:eastAsia="zh-CN"/>
        </w:rPr>
        <w:t>（</w:t>
      </w:r>
      <w:r>
        <w:rPr>
          <w:rFonts w:hint="eastAsia" w:ascii="黑体" w:hAnsi="黑体" w:eastAsia="黑体" w:cs="黑体"/>
          <w:b/>
          <w:bCs/>
          <w:sz w:val="32"/>
          <w:szCs w:val="32"/>
          <w:highlight w:val="none"/>
          <w:lang w:val="en-US" w:eastAsia="zh-CN"/>
        </w:rPr>
        <w:t>单位</w:t>
      </w:r>
      <w:r>
        <w:rPr>
          <w:rFonts w:hint="eastAsia" w:ascii="黑体" w:hAnsi="黑体" w:eastAsia="黑体" w:cs="黑体"/>
          <w:b/>
          <w:bCs/>
          <w:sz w:val="32"/>
          <w:szCs w:val="32"/>
          <w:highlight w:val="none"/>
          <w:lang w:eastAsia="zh-CN"/>
        </w:rPr>
        <w:t>）</w:t>
      </w:r>
      <w:r>
        <w:rPr>
          <w:rFonts w:hint="eastAsia" w:ascii="黑体" w:hAnsi="黑体" w:eastAsia="黑体" w:cs="黑体"/>
          <w:b/>
          <w:bCs/>
          <w:sz w:val="32"/>
          <w:szCs w:val="32"/>
          <w:highlight w:val="none"/>
        </w:rPr>
        <w:t>项目绩效评价结果。</w:t>
      </w:r>
    </w:p>
    <w:p w14:paraId="36DE7110">
      <w:pPr>
        <w:pStyle w:val="13"/>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以</w:t>
      </w:r>
      <w:r>
        <w:rPr>
          <w:rFonts w:hint="eastAsia" w:ascii="FangSong_GB2312" w:hAnsi="FangSong_GB2312" w:eastAsia="FangSong_GB2312" w:cs="FangSong_GB2312"/>
          <w:kern w:val="0"/>
          <w:sz w:val="32"/>
          <w:szCs w:val="32"/>
          <w:lang w:eastAsia="en-US"/>
        </w:rPr>
        <w:t>城市精细化管理工作经费</w:t>
      </w:r>
      <w:r>
        <w:rPr>
          <w:rFonts w:ascii="FangSong_GB2312" w:hAnsi="FangSong_GB2312" w:eastAsia="FangSong_GB2312" w:cs="FangSong_GB2312"/>
          <w:kern w:val="0"/>
          <w:sz w:val="32"/>
          <w:szCs w:val="32"/>
        </w:rPr>
        <w:t>项目为例，该项目绩效评价综合得分为</w:t>
      </w:r>
      <w:r>
        <w:rPr>
          <w:rFonts w:hint="eastAsia" w:ascii="FangSong_GB2312" w:hAnsi="FangSong_GB2312" w:eastAsia="FangSong_GB2312" w:cs="FangSong_GB2312"/>
          <w:kern w:val="0"/>
          <w:sz w:val="32"/>
          <w:szCs w:val="32"/>
          <w:lang w:val="en-US" w:eastAsia="zh-CN"/>
        </w:rPr>
        <w:t>99.96</w:t>
      </w:r>
      <w:r>
        <w:rPr>
          <w:rFonts w:ascii="FangSong_GB2312" w:hAnsi="FangSong_GB2312" w:eastAsia="FangSong_GB2312" w:cs="FangSong_GB2312"/>
          <w:kern w:val="0"/>
          <w:sz w:val="32"/>
          <w:szCs w:val="32"/>
        </w:rPr>
        <w:t>分，绩效评价结果为“优”。部门项目绩效评价得分情况详见部门（单位）具体绩效评价结果。</w:t>
      </w:r>
    </w:p>
    <w:p w14:paraId="197EFC90">
      <w:pPr>
        <w:pStyle w:val="13"/>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4310" cy="7185660"/>
            <wp:effectExtent l="0" t="0" r="8890" b="2540"/>
            <wp:docPr id="8" name="图片 8" descr="003e2ddc976b55a9e616768c05620f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03e2ddc976b55a9e616768c05620f17"/>
                    <pic:cNvPicPr>
                      <a:picLocks noChangeAspect="1"/>
                    </pic:cNvPicPr>
                  </pic:nvPicPr>
                  <pic:blipFill>
                    <a:blip r:embed="rId12"/>
                    <a:stretch>
                      <a:fillRect/>
                    </a:stretch>
                  </pic:blipFill>
                  <pic:spPr>
                    <a:xfrm>
                      <a:off x="0" y="0"/>
                      <a:ext cx="5274310" cy="7185660"/>
                    </a:xfrm>
                    <a:prstGeom prst="rect">
                      <a:avLst/>
                    </a:prstGeom>
                  </pic:spPr>
                </pic:pic>
              </a:graphicData>
            </a:graphic>
          </wp:inline>
        </w:drawing>
      </w:r>
    </w:p>
    <w:p w14:paraId="689E5689">
      <w:pPr>
        <w:pStyle w:val="13"/>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3040" cy="7550150"/>
            <wp:effectExtent l="0" t="0" r="10160" b="6350"/>
            <wp:docPr id="9" name="图片 9" descr="106b2a6ada94f1988e6035e7d6b819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06b2a6ada94f1988e6035e7d6b819d3"/>
                    <pic:cNvPicPr>
                      <a:picLocks noChangeAspect="1"/>
                    </pic:cNvPicPr>
                  </pic:nvPicPr>
                  <pic:blipFill>
                    <a:blip r:embed="rId13"/>
                    <a:stretch>
                      <a:fillRect/>
                    </a:stretch>
                  </pic:blipFill>
                  <pic:spPr>
                    <a:xfrm>
                      <a:off x="0" y="0"/>
                      <a:ext cx="5273040" cy="7550150"/>
                    </a:xfrm>
                    <a:prstGeom prst="rect">
                      <a:avLst/>
                    </a:prstGeom>
                  </pic:spPr>
                </pic:pic>
              </a:graphicData>
            </a:graphic>
          </wp:inline>
        </w:drawing>
      </w:r>
    </w:p>
    <w:p w14:paraId="18BA73A4">
      <w:pPr>
        <w:pStyle w:val="13"/>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1135" cy="7809230"/>
            <wp:effectExtent l="0" t="0" r="12065" b="1270"/>
            <wp:docPr id="11" name="图片 11" descr="7b9e83b2e7a4acf27124392f76d59a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7b9e83b2e7a4acf27124392f76d59a0a"/>
                    <pic:cNvPicPr>
                      <a:picLocks noChangeAspect="1"/>
                    </pic:cNvPicPr>
                  </pic:nvPicPr>
                  <pic:blipFill>
                    <a:blip r:embed="rId14"/>
                    <a:stretch>
                      <a:fillRect/>
                    </a:stretch>
                  </pic:blipFill>
                  <pic:spPr>
                    <a:xfrm>
                      <a:off x="0" y="0"/>
                      <a:ext cx="5271135" cy="7809230"/>
                    </a:xfrm>
                    <a:prstGeom prst="rect">
                      <a:avLst/>
                    </a:prstGeom>
                  </pic:spPr>
                </pic:pic>
              </a:graphicData>
            </a:graphic>
          </wp:inline>
        </w:drawing>
      </w:r>
    </w:p>
    <w:p w14:paraId="242DA86D">
      <w:pPr>
        <w:pStyle w:val="13"/>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4310" cy="7868920"/>
            <wp:effectExtent l="0" t="0" r="8890" b="5080"/>
            <wp:docPr id="12" name="图片 12" descr="46446ba81af46d9c1042eb74c8ecee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46446ba81af46d9c1042eb74c8ecee8c"/>
                    <pic:cNvPicPr>
                      <a:picLocks noChangeAspect="1"/>
                    </pic:cNvPicPr>
                  </pic:nvPicPr>
                  <pic:blipFill>
                    <a:blip r:embed="rId15"/>
                    <a:stretch>
                      <a:fillRect/>
                    </a:stretch>
                  </pic:blipFill>
                  <pic:spPr>
                    <a:xfrm>
                      <a:off x="0" y="0"/>
                      <a:ext cx="5274310" cy="7868920"/>
                    </a:xfrm>
                    <a:prstGeom prst="rect">
                      <a:avLst/>
                    </a:prstGeom>
                  </pic:spPr>
                </pic:pic>
              </a:graphicData>
            </a:graphic>
          </wp:inline>
        </w:drawing>
      </w:r>
    </w:p>
    <w:p w14:paraId="547786AC">
      <w:pPr>
        <w:pStyle w:val="13"/>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69230" cy="7061200"/>
            <wp:effectExtent l="0" t="0" r="1270" b="0"/>
            <wp:docPr id="13" name="图片 13" descr="c1bb5e8d2d481668c00d3f19e28a3b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1bb5e8d2d481668c00d3f19e28a3ba3"/>
                    <pic:cNvPicPr>
                      <a:picLocks noChangeAspect="1"/>
                    </pic:cNvPicPr>
                  </pic:nvPicPr>
                  <pic:blipFill>
                    <a:blip r:embed="rId16"/>
                    <a:stretch>
                      <a:fillRect/>
                    </a:stretch>
                  </pic:blipFill>
                  <pic:spPr>
                    <a:xfrm>
                      <a:off x="0" y="0"/>
                      <a:ext cx="5269230" cy="7061200"/>
                    </a:xfrm>
                    <a:prstGeom prst="rect">
                      <a:avLst/>
                    </a:prstGeom>
                  </pic:spPr>
                </pic:pic>
              </a:graphicData>
            </a:graphic>
          </wp:inline>
        </w:drawing>
      </w:r>
    </w:p>
    <w:p w14:paraId="6D596A0D">
      <w:pPr>
        <w:pStyle w:val="13"/>
        <w:widowControl/>
        <w:spacing w:before="240" w:after="240" w:line="560" w:lineRule="atLeast"/>
        <w:jc w:val="left"/>
        <w:rPr>
          <w:rFonts w:hint="eastAsia" w:ascii="FangSong_GB2312" w:hAnsi="FangSong_GB2312" w:eastAsia="FangSong_GB2312" w:cs="FangSong_GB2312"/>
          <w:kern w:val="0"/>
          <w:sz w:val="32"/>
          <w:szCs w:val="32"/>
          <w:lang w:eastAsia="zh-CN"/>
        </w:rPr>
      </w:pPr>
    </w:p>
    <w:p w14:paraId="12865D41">
      <w:pPr>
        <w:pStyle w:val="13"/>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1135" cy="7529830"/>
            <wp:effectExtent l="0" t="0" r="12065" b="1270"/>
            <wp:docPr id="14" name="图片 14" descr="44ebe1391517b14e71ed8319b417fd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44ebe1391517b14e71ed8319b417fd3d"/>
                    <pic:cNvPicPr>
                      <a:picLocks noChangeAspect="1"/>
                    </pic:cNvPicPr>
                  </pic:nvPicPr>
                  <pic:blipFill>
                    <a:blip r:embed="rId17"/>
                    <a:stretch>
                      <a:fillRect/>
                    </a:stretch>
                  </pic:blipFill>
                  <pic:spPr>
                    <a:xfrm>
                      <a:off x="0" y="0"/>
                      <a:ext cx="5271135" cy="7529830"/>
                    </a:xfrm>
                    <a:prstGeom prst="rect">
                      <a:avLst/>
                    </a:prstGeom>
                  </pic:spPr>
                </pic:pic>
              </a:graphicData>
            </a:graphic>
          </wp:inline>
        </w:drawing>
      </w:r>
    </w:p>
    <w:p w14:paraId="29F62F02">
      <w:pPr>
        <w:pStyle w:val="13"/>
        <w:widowControl/>
        <w:spacing w:before="240" w:after="240" w:line="560" w:lineRule="atLeast"/>
        <w:jc w:val="left"/>
        <w:rPr>
          <w:rFonts w:hint="eastAsia" w:ascii="FangSong_GB2312" w:hAnsi="FangSong_GB2312" w:eastAsia="FangSong_GB2312" w:cs="FangSong_GB2312"/>
          <w:kern w:val="0"/>
          <w:sz w:val="32"/>
          <w:szCs w:val="32"/>
          <w:lang w:eastAsia="zh-CN"/>
        </w:rPr>
      </w:pPr>
      <w:r>
        <w:rPr>
          <w:rFonts w:hint="eastAsia" w:ascii="FangSong_GB2312" w:hAnsi="FangSong_GB2312" w:eastAsia="FangSong_GB2312" w:cs="FangSong_GB2312"/>
          <w:kern w:val="0"/>
          <w:sz w:val="32"/>
          <w:szCs w:val="32"/>
          <w:lang w:eastAsia="zh-CN"/>
        </w:rPr>
        <w:drawing>
          <wp:inline distT="0" distB="0" distL="114300" distR="114300">
            <wp:extent cx="5271135" cy="7677150"/>
            <wp:effectExtent l="0" t="0" r="12065" b="6350"/>
            <wp:docPr id="15" name="图片 15" descr="44d55d067f551029e176c3d20f03da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44d55d067f551029e176c3d20f03da7b"/>
                    <pic:cNvPicPr>
                      <a:picLocks noChangeAspect="1"/>
                    </pic:cNvPicPr>
                  </pic:nvPicPr>
                  <pic:blipFill>
                    <a:blip r:embed="rId18"/>
                    <a:stretch>
                      <a:fillRect/>
                    </a:stretch>
                  </pic:blipFill>
                  <pic:spPr>
                    <a:xfrm>
                      <a:off x="0" y="0"/>
                      <a:ext cx="5271135" cy="7677150"/>
                    </a:xfrm>
                    <a:prstGeom prst="rect">
                      <a:avLst/>
                    </a:prstGeom>
                  </pic:spPr>
                </pic:pic>
              </a:graphicData>
            </a:graphic>
          </wp:inline>
        </w:drawing>
      </w:r>
    </w:p>
    <w:p w14:paraId="4BBE701A">
      <w:pPr>
        <w:pStyle w:val="13"/>
        <w:widowControl/>
        <w:spacing w:before="240" w:after="240" w:line="560" w:lineRule="atLeast"/>
        <w:jc w:val="left"/>
        <w:rPr>
          <w:rFonts w:hint="eastAsia" w:ascii="FangSong_GB2312" w:hAnsi="FangSong_GB2312" w:eastAsia="FangSong_GB2312" w:cs="FangSong_GB2312"/>
          <w:kern w:val="0"/>
          <w:sz w:val="32"/>
          <w:szCs w:val="32"/>
          <w:lang w:eastAsia="zh-CN"/>
        </w:rPr>
      </w:pPr>
    </w:p>
    <w:p w14:paraId="183DB25E">
      <w:pPr>
        <w:pStyle w:val="6"/>
        <w:spacing w:after="0" w:line="560" w:lineRule="exact"/>
        <w:ind w:firstLine="640" w:firstLineChars="200"/>
        <w:rPr>
          <w:rFonts w:hint="eastAsia" w:ascii="仿宋" w:hAnsi="仿宋" w:eastAsia="仿宋" w:cs="仿宋"/>
          <w:b w:val="0"/>
          <w:bCs w:val="0"/>
          <w:sz w:val="32"/>
          <w:szCs w:val="32"/>
          <w:highlight w:val="none"/>
        </w:rPr>
      </w:pPr>
    </w:p>
    <w:p w14:paraId="7C466BE8">
      <w:pPr>
        <w:pStyle w:val="5"/>
        <w:tabs>
          <w:tab w:val="left" w:pos="4392"/>
        </w:tabs>
        <w:adjustRightInd/>
        <w:snapToGrid/>
        <w:spacing w:before="0" w:after="0" w:line="360" w:lineRule="auto"/>
        <w:ind w:firstLine="0" w:firstLineChars="0"/>
        <w:jc w:val="center"/>
        <w:rPr>
          <w:rFonts w:hint="eastAsia" w:ascii="黑体" w:hAnsi="黑体" w:eastAsia="黑体" w:cs="黑体"/>
          <w:b w:val="0"/>
          <w:bCs w:val="0"/>
          <w:sz w:val="36"/>
          <w:szCs w:val="36"/>
          <w:highlight w:val="none"/>
        </w:rPr>
      </w:pPr>
      <w:bookmarkStart w:id="3" w:name="_Toc8682"/>
      <w:r>
        <w:rPr>
          <w:rFonts w:hint="eastAsia" w:ascii="黑体" w:hAnsi="黑体" w:eastAsia="黑体" w:cs="黑体"/>
          <w:b w:val="0"/>
          <w:bCs w:val="0"/>
          <w:sz w:val="36"/>
          <w:szCs w:val="36"/>
          <w:highlight w:val="none"/>
        </w:rPr>
        <w:t>第三部分</w:t>
      </w:r>
      <w:r>
        <w:rPr>
          <w:rFonts w:hint="eastAsia" w:ascii="黑体" w:hAnsi="黑体" w:eastAsia="黑体" w:cs="黑体"/>
          <w:b w:val="0"/>
          <w:bCs w:val="0"/>
          <w:sz w:val="36"/>
          <w:szCs w:val="36"/>
          <w:highlight w:val="none"/>
          <w:lang w:val="en-US" w:eastAsia="zh-CN"/>
        </w:rPr>
        <w:t xml:space="preserve">  </w:t>
      </w:r>
      <w:r>
        <w:rPr>
          <w:rFonts w:hint="eastAsia" w:ascii="黑体" w:hAnsi="黑体" w:eastAsia="黑体" w:cs="黑体"/>
          <w:b w:val="0"/>
          <w:bCs w:val="0"/>
          <w:sz w:val="36"/>
          <w:szCs w:val="36"/>
          <w:highlight w:val="none"/>
        </w:rPr>
        <w:t>名词解释</w:t>
      </w:r>
      <w:bookmarkEnd w:id="3"/>
    </w:p>
    <w:p w14:paraId="3255311C">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一、财政拨款收入：</w:t>
      </w:r>
      <w:r>
        <w:rPr>
          <w:rFonts w:hint="eastAsia" w:ascii="Times New Roman" w:hAnsi="Times New Roman" w:eastAsia="仿宋_GB2312" w:cs="仿宋"/>
          <w:sz w:val="32"/>
          <w:szCs w:val="32"/>
          <w:highlight w:val="none"/>
        </w:rPr>
        <w:t>从同级财政部门取得的各类财政拨款，包括一般公共预算财政拨款、政府性基金预算财政拨款、国有资本经营预算财政拨款。</w:t>
      </w:r>
    </w:p>
    <w:p w14:paraId="07B941D6">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二、上级补助收入：</w:t>
      </w:r>
      <w:r>
        <w:rPr>
          <w:rFonts w:hint="eastAsia" w:ascii="Times New Roman" w:hAnsi="Times New Roman" w:eastAsia="仿宋_GB2312" w:cs="仿宋"/>
          <w:sz w:val="32"/>
          <w:szCs w:val="32"/>
          <w:highlight w:val="none"/>
        </w:rPr>
        <w:t>指事业单位从主管部门和上级单位取得的非财政补助收入。</w:t>
      </w:r>
    </w:p>
    <w:p w14:paraId="26A97A6C">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三、财政专户管理教育收费：</w:t>
      </w:r>
      <w:r>
        <w:rPr>
          <w:rFonts w:hint="eastAsia" w:ascii="Times New Roman" w:hAnsi="Times New Roman" w:eastAsia="仿宋_GB2312" w:cs="仿宋"/>
          <w:sz w:val="32"/>
          <w:szCs w:val="32"/>
          <w:highlight w:val="none"/>
        </w:rPr>
        <w:t>指缴入财政专户、实行专项管理的高中以上学费、住宿费、高校委托培养费、函大、电大、夜大及短训班培训费等教育收费。</w:t>
      </w:r>
    </w:p>
    <w:p w14:paraId="29C09C10">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四、事业收入：</w:t>
      </w:r>
      <w:r>
        <w:rPr>
          <w:rFonts w:hint="eastAsia" w:ascii="Times New Roman" w:hAnsi="Times New Roman" w:eastAsia="仿宋_GB2312" w:cs="仿宋"/>
          <w:sz w:val="32"/>
          <w:szCs w:val="32"/>
          <w:highlight w:val="none"/>
        </w:rPr>
        <w:t>指事业单位开展专业业务活动及其辅助活动取得的收入。</w:t>
      </w:r>
    </w:p>
    <w:p w14:paraId="57D62524">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五、经营收入：</w:t>
      </w:r>
      <w:r>
        <w:rPr>
          <w:rFonts w:hint="eastAsia" w:ascii="Times New Roman" w:hAnsi="Times New Roman" w:eastAsia="仿宋_GB2312" w:cs="仿宋"/>
          <w:sz w:val="32"/>
          <w:szCs w:val="32"/>
          <w:highlight w:val="none"/>
        </w:rPr>
        <w:t>指事业单位在专业业务活动及其辅助活动之外开展非独立核算经营活动取得的收入。</w:t>
      </w:r>
    </w:p>
    <w:p w14:paraId="7100E8F8">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六、附属单位上缴收入：</w:t>
      </w:r>
      <w:r>
        <w:rPr>
          <w:rFonts w:hint="eastAsia" w:ascii="Times New Roman" w:hAnsi="Times New Roman" w:eastAsia="仿宋_GB2312" w:cs="仿宋"/>
          <w:sz w:val="32"/>
          <w:szCs w:val="32"/>
          <w:highlight w:val="none"/>
        </w:rPr>
        <w:t>指事业单位附属独立核算单位按照有关规定上缴的收入。</w:t>
      </w:r>
    </w:p>
    <w:p w14:paraId="122B7120">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七、其他收入：</w:t>
      </w:r>
      <w:r>
        <w:rPr>
          <w:rFonts w:hint="eastAsia" w:ascii="Times New Roman" w:hAnsi="Times New Roman" w:eastAsia="仿宋_GB2312" w:cs="仿宋"/>
          <w:sz w:val="32"/>
          <w:szCs w:val="32"/>
          <w:highlight w:val="none"/>
        </w:rPr>
        <w:t>取得的除上述“财政拨款收入”、“上级补助收入”、“事业收入”、“经营收入”、“附属单位上缴收入”等以外的各项收入。</w:t>
      </w:r>
    </w:p>
    <w:p w14:paraId="6E46C68B">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八、使用非财政拨款结余：</w:t>
      </w:r>
      <w:r>
        <w:rPr>
          <w:rFonts w:hint="eastAsia" w:ascii="Times New Roman" w:hAnsi="Times New Roman" w:eastAsia="仿宋_GB2312" w:cs="仿宋"/>
          <w:sz w:val="32"/>
          <w:szCs w:val="32"/>
          <w:highlight w:val="none"/>
        </w:rPr>
        <w:t>指事业单位按照预算管理要求使用非财政拨款结余弥补当年收支差额的数额。</w:t>
      </w:r>
    </w:p>
    <w:p w14:paraId="1CD406E2">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九、年初结转和结余：</w:t>
      </w:r>
      <w:r>
        <w:rPr>
          <w:rFonts w:hint="eastAsia" w:ascii="Times New Roman" w:hAnsi="Times New Roman" w:eastAsia="仿宋_GB2312" w:cs="仿宋"/>
          <w:sz w:val="32"/>
          <w:szCs w:val="32"/>
          <w:highlight w:val="none"/>
        </w:rPr>
        <w:t>指单位上年结转本年使用的基本支出结转、项目支出结转和结余、经营结余。</w:t>
      </w:r>
    </w:p>
    <w:p w14:paraId="202E0355">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十、结余分配：</w:t>
      </w:r>
      <w:r>
        <w:rPr>
          <w:rFonts w:hint="eastAsia" w:ascii="Times New Roman" w:hAnsi="Times New Roman" w:eastAsia="仿宋_GB2312" w:cs="仿宋"/>
          <w:sz w:val="32"/>
          <w:szCs w:val="32"/>
          <w:highlight w:val="none"/>
        </w:rPr>
        <w:t>指事业单位按规定缴纳的所得税以及从非财政拨款结余中提取各类结余的情况。</w:t>
      </w:r>
    </w:p>
    <w:p w14:paraId="47FD9555">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十一、年末结转和结余资金：</w:t>
      </w:r>
      <w:r>
        <w:rPr>
          <w:rFonts w:hint="eastAsia" w:ascii="Times New Roman" w:hAnsi="Times New Roman" w:eastAsia="仿宋_GB2312" w:cs="仿宋"/>
          <w:sz w:val="32"/>
          <w:szCs w:val="32"/>
          <w:highlight w:val="none"/>
        </w:rPr>
        <w:t>指单位结转下年的基本支出结转、项目支出结转和结余、经营结余。</w:t>
      </w:r>
    </w:p>
    <w:p w14:paraId="757B66E7">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十二、基本支出：</w:t>
      </w:r>
      <w:r>
        <w:rPr>
          <w:rFonts w:hint="eastAsia" w:ascii="Times New Roman" w:hAnsi="Times New Roman" w:eastAsia="仿宋_GB2312" w:cs="仿宋"/>
          <w:sz w:val="32"/>
          <w:szCs w:val="32"/>
          <w:highlight w:val="none"/>
        </w:rPr>
        <w:t>指为保障机构正常运转、完成日常工作任务所发生的支出，包括人员经费和公用经费。</w:t>
      </w:r>
    </w:p>
    <w:p w14:paraId="0C6FE716">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十三、项目支出：</w:t>
      </w:r>
      <w:r>
        <w:rPr>
          <w:rFonts w:hint="eastAsia" w:ascii="Times New Roman" w:hAnsi="Times New Roman" w:eastAsia="仿宋_GB2312" w:cs="仿宋"/>
          <w:sz w:val="32"/>
          <w:szCs w:val="32"/>
          <w:highlight w:val="none"/>
        </w:rPr>
        <w:t>指在为完成特定的工作任务和事业发展目标所发生的支出。</w:t>
      </w:r>
    </w:p>
    <w:p w14:paraId="18352EF6">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十四、上缴上级支出：</w:t>
      </w:r>
      <w:r>
        <w:rPr>
          <w:rFonts w:hint="eastAsia" w:ascii="Times New Roman" w:hAnsi="Times New Roman" w:eastAsia="仿宋_GB2312" w:cs="仿宋"/>
          <w:sz w:val="32"/>
          <w:szCs w:val="32"/>
          <w:highlight w:val="none"/>
        </w:rPr>
        <w:t>指事业单位按照财政部门和主管部门的规定上缴上级单位的支出。</w:t>
      </w:r>
    </w:p>
    <w:p w14:paraId="027E6C77">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十五、经营支出：</w:t>
      </w:r>
      <w:r>
        <w:rPr>
          <w:rFonts w:hint="eastAsia" w:ascii="Times New Roman" w:hAnsi="Times New Roman" w:eastAsia="仿宋_GB2312" w:cs="仿宋"/>
          <w:sz w:val="32"/>
          <w:szCs w:val="32"/>
          <w:highlight w:val="none"/>
        </w:rPr>
        <w:t>指事业单位在专业业务活动及其辅助活动之外开展非独立核算经营活动发生的支出。</w:t>
      </w:r>
    </w:p>
    <w:p w14:paraId="6488A57E">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十六、对附属单位补助支出：</w:t>
      </w:r>
      <w:r>
        <w:rPr>
          <w:rFonts w:hint="eastAsia" w:ascii="Times New Roman" w:hAnsi="Times New Roman" w:eastAsia="仿宋_GB2312" w:cs="仿宋"/>
          <w:sz w:val="32"/>
          <w:szCs w:val="32"/>
          <w:highlight w:val="none"/>
        </w:rPr>
        <w:t>指事业单位用财政拨款收入之外的收入对附属单位补助发生的支出。</w:t>
      </w:r>
    </w:p>
    <w:p w14:paraId="7878C214">
      <w:pPr>
        <w:pStyle w:val="6"/>
        <w:spacing w:after="0" w:line="560" w:lineRule="exact"/>
        <w:ind w:firstLine="643" w:firstLineChars="200"/>
        <w:rPr>
          <w:rFonts w:ascii="Times New Roman" w:hAnsi="Times New Roman" w:eastAsia="仿宋_GB2312" w:cs="仿宋"/>
          <w:sz w:val="32"/>
          <w:szCs w:val="32"/>
          <w:highlight w:val="none"/>
        </w:rPr>
      </w:pPr>
      <w:r>
        <w:rPr>
          <w:rFonts w:hint="eastAsia" w:ascii="Times New Roman" w:hAnsi="Times New Roman" w:eastAsia="仿宋_GB2312" w:cs="仿宋"/>
          <w:b/>
          <w:bCs/>
          <w:sz w:val="32"/>
          <w:szCs w:val="32"/>
          <w:highlight w:val="none"/>
        </w:rPr>
        <w:t>十七、“三公”经费：</w:t>
      </w:r>
      <w:r>
        <w:rPr>
          <w:rFonts w:hint="eastAsia" w:ascii="Times New Roman" w:hAnsi="Times New Roman" w:eastAsia="仿宋_GB2312" w:cs="仿宋"/>
          <w:sz w:val="32"/>
          <w:szCs w:val="32"/>
          <w:highlight w:val="none"/>
        </w:rPr>
        <w:t>指部门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用一般公共预算财政拨款安排的因公出国（境）费、公务用车购置及运行维护费和公务接待费。其中，因公出国（境）费反映部门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公务出国（境）的国际旅费、国外城市间交通费、住宿费、伙食费、培训费、公杂费等支出；公务用车购置及运行维护费反映部门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公务用车购置支出（含车辆购置税、牌照费）以及按规定保留的公务用车燃料费、维修费、过路过桥费、保险费、安全奖励费用等支出；公务接待费反映部门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按规定开支的各类公务接待（含外宾接待）费用。</w:t>
      </w:r>
    </w:p>
    <w:p w14:paraId="4D39C9E2">
      <w:pPr>
        <w:spacing w:line="560" w:lineRule="exact"/>
        <w:ind w:firstLine="643" w:firstLineChars="200"/>
        <w:rPr>
          <w:rFonts w:hint="eastAsia" w:eastAsia="仿宋_GB2312" w:cstheme="minorBidi"/>
          <w:sz w:val="32"/>
          <w:szCs w:val="32"/>
          <w:highlight w:val="none"/>
        </w:rPr>
      </w:pPr>
      <w:r>
        <w:rPr>
          <w:rFonts w:hint="eastAsia" w:ascii="Times New Roman" w:hAnsi="Times New Roman" w:eastAsia="仿宋_GB2312" w:cs="仿宋"/>
          <w:b/>
          <w:bCs/>
          <w:sz w:val="32"/>
          <w:szCs w:val="32"/>
          <w:highlight w:val="none"/>
        </w:rPr>
        <w:t>十八、</w:t>
      </w:r>
      <w:r>
        <w:rPr>
          <w:rFonts w:hint="eastAsia" w:ascii="Times New Roman" w:hAnsi="Times New Roman" w:eastAsia="仿宋_GB2312" w:cs="仿宋"/>
          <w:b/>
          <w:bCs/>
          <w:sz w:val="32"/>
          <w:szCs w:val="32"/>
          <w:highlight w:val="none"/>
          <w:lang w:val="en-US" w:eastAsia="zh-CN"/>
        </w:rPr>
        <w:t>机构</w:t>
      </w:r>
      <w:r>
        <w:rPr>
          <w:rFonts w:hint="eastAsia" w:ascii="Times New Roman" w:hAnsi="Times New Roman" w:eastAsia="仿宋_GB2312" w:cs="仿宋"/>
          <w:b/>
          <w:bCs/>
          <w:sz w:val="32"/>
          <w:szCs w:val="32"/>
          <w:highlight w:val="none"/>
        </w:rPr>
        <w:t>运行经费：</w:t>
      </w:r>
      <w:r>
        <w:rPr>
          <w:rFonts w:hint="eastAsia" w:eastAsia="仿宋_GB2312" w:cs="仿宋"/>
          <w:b w:val="0"/>
          <w:bCs w:val="0"/>
          <w:sz w:val="32"/>
          <w:szCs w:val="32"/>
          <w:highlight w:val="none"/>
          <w:lang w:val="en-US" w:eastAsia="zh-CN"/>
        </w:rPr>
        <w:t>指</w:t>
      </w:r>
      <w:r>
        <w:rPr>
          <w:rFonts w:hint="eastAsia" w:ascii="Times New Roman" w:hAnsi="Times New Roman" w:eastAsia="仿宋_GB2312" w:cs="仿宋"/>
          <w:sz w:val="32"/>
          <w:szCs w:val="32"/>
          <w:highlight w:val="none"/>
        </w:rPr>
        <w:t>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eastAsia="仿宋_GB2312" w:cstheme="minorBidi"/>
          <w:sz w:val="32"/>
          <w:szCs w:val="32"/>
          <w:highlight w:val="none"/>
        </w:rPr>
        <w:t>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14:paraId="5C6E1C54">
      <w:pPr>
        <w:ind w:firstLine="640" w:firstLineChars="200"/>
        <w:rPr>
          <w:rFonts w:hint="eastAsia" w:ascii="Times New Roman" w:hAnsi="Times New Roman" w:eastAsia="仿宋_GB2312" w:cs="仿宋"/>
          <w:sz w:val="32"/>
          <w:szCs w:val="32"/>
          <w:highlight w:val="none"/>
        </w:rPr>
      </w:pPr>
      <w:r>
        <w:rPr>
          <w:rFonts w:hint="eastAsia" w:ascii="Times New Roman" w:hAnsi="Times New Roman" w:eastAsia="仿宋_GB2312" w:cs="仿宋"/>
          <w:sz w:val="32"/>
          <w:szCs w:val="32"/>
          <w:highlight w:val="none"/>
        </w:rPr>
        <w:t>（各部门</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单位</w:t>
      </w:r>
      <w:r>
        <w:rPr>
          <w:rFonts w:hint="eastAsia" w:ascii="Times New Roman" w:hAnsi="Times New Roman" w:eastAsia="仿宋_GB2312" w:cs="仿宋"/>
          <w:sz w:val="32"/>
          <w:szCs w:val="32"/>
          <w:highlight w:val="none"/>
          <w:lang w:eastAsia="zh-CN"/>
        </w:rPr>
        <w:t>）</w:t>
      </w:r>
      <w:r>
        <w:rPr>
          <w:rFonts w:hint="eastAsia" w:ascii="Times New Roman" w:hAnsi="Times New Roman" w:eastAsia="仿宋_GB2312" w:cs="仿宋"/>
          <w:sz w:val="32"/>
          <w:szCs w:val="32"/>
          <w:highlight w:val="none"/>
        </w:rPr>
        <w:t>应根据公开决算表中对应的经费情况进行名词解释，对未涉及的名词可以删除）</w:t>
      </w:r>
    </w:p>
    <w:p w14:paraId="14B45125">
      <w:pPr>
        <w:pStyle w:val="2"/>
        <w:rPr>
          <w:rFonts w:hint="eastAsia"/>
        </w:rPr>
      </w:pPr>
    </w:p>
    <w:p w14:paraId="64D577F0">
      <w:pPr>
        <w:pStyle w:val="5"/>
        <w:tabs>
          <w:tab w:val="left" w:pos="4392"/>
        </w:tabs>
        <w:adjustRightInd/>
        <w:snapToGrid/>
        <w:spacing w:before="0" w:after="0" w:line="360" w:lineRule="auto"/>
        <w:ind w:firstLine="0" w:firstLineChars="0"/>
        <w:jc w:val="center"/>
        <w:rPr>
          <w:rFonts w:hint="eastAsia" w:ascii="方正小标宋简体" w:hAnsi="方正小标宋简体" w:eastAsia="方正小标宋简体" w:cs="方正小标宋简体"/>
          <w:b w:val="0"/>
          <w:bCs w:val="0"/>
          <w:sz w:val="36"/>
          <w:szCs w:val="36"/>
          <w:highlight w:val="none"/>
        </w:rPr>
      </w:pPr>
      <w:bookmarkStart w:id="4" w:name="_Toc27853"/>
      <w:r>
        <w:rPr>
          <w:rFonts w:hint="eastAsia" w:ascii="方正小标宋简体" w:hAnsi="方正小标宋简体" w:eastAsia="方正小标宋简体" w:cs="方正小标宋简体"/>
          <w:b w:val="0"/>
          <w:bCs w:val="0"/>
          <w:sz w:val="36"/>
          <w:szCs w:val="36"/>
          <w:highlight w:val="none"/>
        </w:rPr>
        <w:t>第四部分</w:t>
      </w:r>
      <w:r>
        <w:rPr>
          <w:rFonts w:hint="eastAsia" w:ascii="方正小标宋简体" w:hAnsi="方正小标宋简体" w:eastAsia="方正小标宋简体" w:cs="方正小标宋简体"/>
          <w:b w:val="0"/>
          <w:bCs w:val="0"/>
          <w:sz w:val="36"/>
          <w:szCs w:val="36"/>
          <w:highlight w:val="none"/>
          <w:lang w:val="en-US" w:eastAsia="zh-CN"/>
        </w:rPr>
        <w:t xml:space="preserve"> 决算</w:t>
      </w:r>
      <w:r>
        <w:rPr>
          <w:rFonts w:hint="eastAsia" w:ascii="方正小标宋简体" w:hAnsi="方正小标宋简体" w:eastAsia="方正小标宋简体" w:cs="方正小标宋简体"/>
          <w:b w:val="0"/>
          <w:bCs w:val="0"/>
          <w:sz w:val="36"/>
          <w:szCs w:val="36"/>
          <w:highlight w:val="none"/>
        </w:rPr>
        <w:t>公开联系方式及信息反馈渠道</w:t>
      </w:r>
      <w:bookmarkEnd w:id="4"/>
    </w:p>
    <w:p w14:paraId="7F161491">
      <w:pPr>
        <w:snapToGrid w:val="0"/>
        <w:spacing w:line="600" w:lineRule="exact"/>
        <w:rPr>
          <w:rFonts w:ascii="方正小标宋简体" w:hAnsi="方正小标宋简体" w:eastAsia="方正小标宋简体" w:cs="方正小标宋简体"/>
          <w:sz w:val="36"/>
          <w:szCs w:val="36"/>
          <w:highlight w:val="none"/>
        </w:rPr>
      </w:pPr>
    </w:p>
    <w:p w14:paraId="69D882AF">
      <w:pPr>
        <w:snapToGrid w:val="0"/>
        <w:spacing w:line="60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本单位</w:t>
      </w:r>
      <w:r>
        <w:rPr>
          <w:rFonts w:hint="eastAsia" w:ascii="仿宋" w:hAnsi="仿宋" w:eastAsia="仿宋" w:cs="仿宋"/>
          <w:sz w:val="32"/>
          <w:szCs w:val="32"/>
          <w:highlight w:val="none"/>
          <w:lang w:val="en-US" w:eastAsia="zh-CN"/>
        </w:rPr>
        <w:t>决算</w:t>
      </w:r>
      <w:r>
        <w:rPr>
          <w:rFonts w:hint="eastAsia" w:ascii="仿宋" w:hAnsi="仿宋" w:eastAsia="仿宋" w:cs="仿宋"/>
          <w:sz w:val="32"/>
          <w:szCs w:val="32"/>
          <w:highlight w:val="none"/>
        </w:rPr>
        <w:t>公开信息反馈和联系方式：</w:t>
      </w:r>
    </w:p>
    <w:p w14:paraId="5B9CE29B">
      <w:pPr>
        <w:snapToGrid w:val="0"/>
        <w:spacing w:line="600" w:lineRule="exact"/>
        <w:ind w:firstLine="640" w:firstLineChars="200"/>
        <w:rPr>
          <w:rFonts w:hint="default" w:eastAsia="仿宋"/>
          <w:lang w:val="en-US" w:eastAsia="zh-CN"/>
        </w:rPr>
      </w:pPr>
      <w:r>
        <w:rPr>
          <w:rFonts w:hint="eastAsia" w:ascii="仿宋" w:hAnsi="仿宋" w:eastAsia="仿宋" w:cs="仿宋"/>
          <w:sz w:val="32"/>
          <w:szCs w:val="32"/>
          <w:highlight w:val="none"/>
        </w:rPr>
        <w:t>联系人：</w:t>
      </w:r>
      <w:r>
        <w:rPr>
          <w:rFonts w:hint="eastAsia" w:ascii="仿宋" w:hAnsi="仿宋" w:eastAsia="仿宋" w:cs="仿宋"/>
          <w:sz w:val="32"/>
          <w:szCs w:val="32"/>
          <w:highlight w:val="none"/>
          <w:lang w:val="en-US" w:eastAsia="zh-CN"/>
        </w:rPr>
        <w:t>李桃</w:t>
      </w:r>
      <w:r>
        <w:rPr>
          <w:rFonts w:hint="eastAsia" w:ascii="仿宋" w:hAnsi="仿宋" w:eastAsia="仿宋" w:cs="仿宋"/>
          <w:sz w:val="32"/>
          <w:szCs w:val="32"/>
          <w:highlight w:val="none"/>
        </w:rPr>
        <w:t xml:space="preserve">         联系电话：</w:t>
      </w:r>
      <w:r>
        <w:rPr>
          <w:rFonts w:hint="eastAsia" w:ascii="仿宋" w:hAnsi="仿宋" w:eastAsia="仿宋" w:cs="仿宋"/>
          <w:sz w:val="32"/>
          <w:szCs w:val="32"/>
          <w:highlight w:val="none"/>
          <w:lang w:val="en-US" w:eastAsia="zh-CN"/>
        </w:rPr>
        <w:t>13947863311</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Century Gothic"/>
    <w:panose1 w:val="020F0502020204030204"/>
    <w:charset w:val="00"/>
    <w:family w:val="swiss"/>
    <w:pitch w:val="default"/>
    <w:sig w:usb0="00000000" w:usb1="00000000" w:usb2="00000001" w:usb3="00000000" w:csb0="0000019F" w:csb1="00000000"/>
  </w:font>
  <w:font w:name="Century Gothic">
    <w:panose1 w:val="020B0502020202020204"/>
    <w:charset w:val="00"/>
    <w:family w:val="auto"/>
    <w:pitch w:val="default"/>
    <w:sig w:usb0="00000287" w:usb1="00000000" w:usb2="00000000" w:usb3="00000000" w:csb0="2000009F" w:csb1="DFD70000"/>
  </w:font>
  <w:font w:name="DejaVu Sans">
    <w:panose1 w:val="020B0603030804020204"/>
    <w:charset w:val="00"/>
    <w:family w:val="auto"/>
    <w:pitch w:val="default"/>
    <w:sig w:usb0="E7006EFF" w:usb1="D200FDFF" w:usb2="0A246029" w:usb3="0400200C" w:csb0="600001FF" w:csb1="DFFF0000"/>
  </w:font>
  <w:font w:name="Arial Unicode MS">
    <w:altName w:val="宋体"/>
    <w:panose1 w:val="020B0604020202020204"/>
    <w:charset w:val="86"/>
    <w:family w:val="swiss"/>
    <w:pitch w:val="default"/>
    <w:sig w:usb0="00000000" w:usb1="00000000"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微软雅黑">
    <w:panose1 w:val="020B0503020204020204"/>
    <w:charset w:val="86"/>
    <w:family w:val="auto"/>
    <w:pitch w:val="default"/>
    <w:sig w:usb0="80000287" w:usb1="2A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FangSong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E28F0">
    <w:pPr>
      <w:pStyle w:val="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795655" cy="35179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95655" cy="3517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5D89D0">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27.7pt;width:62.65pt;mso-position-horizontal:center;mso-position-horizontal-relative:margin;z-index:251660288;mso-width-relative:page;mso-height-relative:page;" filled="f" stroked="f" coordsize="21600,21600" o:gfxdata="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HDpdn1AAAAAQBAAAPAAAAAAAAAAEAIAAAACIAAABkcnMvZG93bnJldi54bWxQSwEC&#10;FAAUAAAACACHTuJAyGZD2zECAABVBAAADgAAAAAAAAABACAAAAAjAQAAZHJzL2Uyb0RvYy54bWxQ&#10;SwUGAAAAAAYABgBZAQAAxgUAAAAA&#10;">
              <v:fill on="f" focussize="0,0"/>
              <v:stroke on="f" weight="0.5pt"/>
              <v:imagedata o:title=""/>
              <o:lock v:ext="edit" aspectratio="f"/>
              <v:textbox inset="0mm,0mm,0mm,0mm">
                <w:txbxContent>
                  <w:p w14:paraId="2C5D89D0">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- 58 -</w:t>
                    </w:r>
                    <w:r>
                      <w:rPr>
                        <w:sz w:val="24"/>
                        <w:szCs w:val="24"/>
                      </w:rPr>
                      <w:fldChar w:fldCharType="end"/>
                    </w:r>
                  </w:p>
                </w:txbxContent>
              </v:textbox>
            </v:shape>
          </w:pict>
        </mc:Fallback>
      </mc:AlternateContent>
    </w:r>
  </w:p>
  <w:p w14:paraId="6F56B28A">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369154"/>
    <w:multiLevelType w:val="singleLevel"/>
    <w:tmpl w:val="9B369154"/>
    <w:lvl w:ilvl="0" w:tentative="0">
      <w:start w:val="1"/>
      <w:numFmt w:val="decimal"/>
      <w:suff w:val="nothing"/>
      <w:lvlText w:val="%1．"/>
      <w:lvlJc w:val="left"/>
    </w:lvl>
  </w:abstractNum>
  <w:abstractNum w:abstractNumId="1">
    <w:nsid w:val="B38ABB10"/>
    <w:multiLevelType w:val="singleLevel"/>
    <w:tmpl w:val="B38ABB10"/>
    <w:lvl w:ilvl="0" w:tentative="0">
      <w:start w:val="1"/>
      <w:numFmt w:val="decimal"/>
      <w:lvlText w:val="%1."/>
      <w:lvlJc w:val="left"/>
      <w:pPr>
        <w:tabs>
          <w:tab w:val="left" w:pos="312"/>
        </w:tabs>
      </w:pPr>
    </w:lvl>
  </w:abstractNum>
  <w:abstractNum w:abstractNumId="2">
    <w:nsid w:val="BE1F1478"/>
    <w:multiLevelType w:val="singleLevel"/>
    <w:tmpl w:val="BE1F1478"/>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3436DC"/>
    <w:rsid w:val="00C06074"/>
    <w:rsid w:val="02583CD6"/>
    <w:rsid w:val="08135D95"/>
    <w:rsid w:val="08222F7A"/>
    <w:rsid w:val="0EE265C8"/>
    <w:rsid w:val="129A1192"/>
    <w:rsid w:val="12C0611C"/>
    <w:rsid w:val="13444D05"/>
    <w:rsid w:val="13504B25"/>
    <w:rsid w:val="140263AC"/>
    <w:rsid w:val="14483B33"/>
    <w:rsid w:val="14AF05CD"/>
    <w:rsid w:val="15EF61B7"/>
    <w:rsid w:val="16663FC5"/>
    <w:rsid w:val="17983C6D"/>
    <w:rsid w:val="17F04F64"/>
    <w:rsid w:val="18475BE2"/>
    <w:rsid w:val="184F5DBD"/>
    <w:rsid w:val="1A5E76D6"/>
    <w:rsid w:val="1A8752EB"/>
    <w:rsid w:val="1BA3113D"/>
    <w:rsid w:val="1D872B41"/>
    <w:rsid w:val="1D9944B1"/>
    <w:rsid w:val="1E0A79BF"/>
    <w:rsid w:val="1F177BF1"/>
    <w:rsid w:val="2033289A"/>
    <w:rsid w:val="21CA0DBF"/>
    <w:rsid w:val="21CC6799"/>
    <w:rsid w:val="22E64DCC"/>
    <w:rsid w:val="242E1407"/>
    <w:rsid w:val="26EE61F0"/>
    <w:rsid w:val="26EF2157"/>
    <w:rsid w:val="27453548"/>
    <w:rsid w:val="287462E4"/>
    <w:rsid w:val="29200942"/>
    <w:rsid w:val="29C95593"/>
    <w:rsid w:val="2BA90E88"/>
    <w:rsid w:val="2C793DE5"/>
    <w:rsid w:val="2D1C30AE"/>
    <w:rsid w:val="2DEF1848"/>
    <w:rsid w:val="2E945B82"/>
    <w:rsid w:val="30342BAC"/>
    <w:rsid w:val="32FB7A2B"/>
    <w:rsid w:val="350857BC"/>
    <w:rsid w:val="394D142E"/>
    <w:rsid w:val="3B0E6465"/>
    <w:rsid w:val="3C3C5AFE"/>
    <w:rsid w:val="3D437EA0"/>
    <w:rsid w:val="3D460B01"/>
    <w:rsid w:val="3D651DCE"/>
    <w:rsid w:val="3E253E55"/>
    <w:rsid w:val="3E57588D"/>
    <w:rsid w:val="422C1525"/>
    <w:rsid w:val="43D93AE8"/>
    <w:rsid w:val="43FF607B"/>
    <w:rsid w:val="496E487C"/>
    <w:rsid w:val="4B466116"/>
    <w:rsid w:val="4C3436DC"/>
    <w:rsid w:val="4E4E2A41"/>
    <w:rsid w:val="52A126AE"/>
    <w:rsid w:val="538B6C80"/>
    <w:rsid w:val="55593E17"/>
    <w:rsid w:val="56777DFD"/>
    <w:rsid w:val="56F83C83"/>
    <w:rsid w:val="578E6BD2"/>
    <w:rsid w:val="57CB6EED"/>
    <w:rsid w:val="5E187E47"/>
    <w:rsid w:val="610F2FF4"/>
    <w:rsid w:val="623876C0"/>
    <w:rsid w:val="62E3547F"/>
    <w:rsid w:val="64D25EA7"/>
    <w:rsid w:val="6AD57D98"/>
    <w:rsid w:val="6BF34058"/>
    <w:rsid w:val="708E7126"/>
    <w:rsid w:val="70F1246A"/>
    <w:rsid w:val="71AD529F"/>
    <w:rsid w:val="73E20771"/>
    <w:rsid w:val="741A5432"/>
    <w:rsid w:val="79FA43AB"/>
    <w:rsid w:val="7ED261F4"/>
    <w:rsid w:val="FFED5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Courier New" w:cs="Times New Roman"/>
      <w:kern w:val="2"/>
      <w:sz w:val="21"/>
      <w:szCs w:val="21"/>
      <w:lang w:val="en-US" w:eastAsia="zh-CN" w:bidi="ar-SA"/>
    </w:rPr>
  </w:style>
  <w:style w:type="paragraph" w:styleId="4">
    <w:name w:val="heading 1"/>
    <w:basedOn w:val="1"/>
    <w:next w:val="1"/>
    <w:qFormat/>
    <w:uiPriority w:val="1"/>
    <w:pPr>
      <w:keepNext/>
      <w:keepLines/>
      <w:spacing w:before="340" w:after="330" w:line="576" w:lineRule="auto"/>
      <w:outlineLvl w:val="0"/>
    </w:pPr>
    <w:rPr>
      <w:b/>
      <w:kern w:val="44"/>
      <w:sz w:val="44"/>
    </w:rPr>
  </w:style>
  <w:style w:type="paragraph" w:styleId="5">
    <w:name w:val="heading 2"/>
    <w:basedOn w:val="1"/>
    <w:next w:val="1"/>
    <w:qFormat/>
    <w:uiPriority w:val="1"/>
    <w:pPr>
      <w:keepNext/>
      <w:keepLines/>
      <w:adjustRightInd w:val="0"/>
      <w:snapToGrid w:val="0"/>
      <w:spacing w:before="260" w:after="260" w:line="416" w:lineRule="auto"/>
      <w:ind w:firstLine="600" w:firstLineChars="200"/>
      <w:outlineLvl w:val="1"/>
    </w:pPr>
    <w:rPr>
      <w:rFonts w:ascii="Arial" w:hAnsi="Arial" w:eastAsia="Symbol"/>
      <w:b/>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spacing w:after="120"/>
      <w:ind w:left="420" w:leftChars="200"/>
      <w:jc w:val="left"/>
    </w:pPr>
    <w:rPr>
      <w:rFonts w:hint="eastAsia" w:ascii="宋体" w:hAnsi="宋体" w:eastAsia="宋体"/>
      <w:kern w:val="0"/>
      <w:sz w:val="24"/>
      <w:szCs w:val="24"/>
    </w:rPr>
  </w:style>
  <w:style w:type="paragraph" w:styleId="6">
    <w:name w:val="Body Text"/>
    <w:basedOn w:val="1"/>
    <w:unhideWhenUsed/>
    <w:qFormat/>
    <w:uiPriority w:val="1"/>
    <w:pPr>
      <w:spacing w:after="120"/>
    </w:pPr>
  </w:style>
  <w:style w:type="paragraph" w:styleId="7">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1"/>
    <w:pPr>
      <w:autoSpaceDE w:val="0"/>
      <w:autoSpaceDN w:val="0"/>
      <w:ind w:left="109" w:right="99" w:firstLine="641"/>
      <w:jc w:val="left"/>
    </w:pPr>
    <w:rPr>
      <w:rFonts w:ascii="Arial Unicode MS" w:hAnsi="Arial Unicode MS" w:eastAsia="Arial Unicode MS" w:cs="Arial Unicode MS"/>
      <w:kern w:val="0"/>
      <w:sz w:val="22"/>
      <w:szCs w:val="22"/>
      <w:lang w:eastAsia="en-US"/>
    </w:rPr>
  </w:style>
  <w:style w:type="paragraph" w:customStyle="1" w:styleId="13">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65000"/>
                    <a:lumOff val="35000"/>
                  </a:schemeClr>
                </a:solidFill>
                <a:latin typeface="+mn-lt"/>
                <a:ea typeface="+mn-ea"/>
                <a:cs typeface="+mn-cs"/>
              </a:defRPr>
            </a:pPr>
            <a:r>
              <a:t>收入决算图</a:t>
            </a:r>
          </a:p>
        </c:rich>
      </c:tx>
      <c:layout>
        <c:manualLayout>
          <c:xMode val="edge"/>
          <c:yMode val="edge"/>
          <c:x val="0.339850722050949"/>
          <c:y val="0.0368966388678292"/>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9525"/>
          </c:spPr>
          <c:explosion val="0"/>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contourW="9525"/>
            </c:spPr>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contourW="9525"/>
            </c:spPr>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contourW="9525"/>
            </c:spPr>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contourW="9525"/>
            </c:spPr>
          </c:dPt>
          <c:dPt>
            <c:idx val="4"/>
            <c:bubble3D val="0"/>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contourW="9525"/>
            </c:spPr>
          </c:dPt>
          <c:dPt>
            <c:idx val="5"/>
            <c:bubble3D val="0"/>
            <c:spPr>
              <a:solidFill>
                <a:schemeClr val="accent6"/>
              </a:solidFill>
              <a:ln>
                <a:noFill/>
              </a:ln>
              <a:effectLst>
                <a:outerShdw blurRad="88900" sx="102000" sy="102000" algn="ctr" rotWithShape="0">
                  <a:prstClr val="black">
                    <a:alpha val="20000"/>
                  </a:prstClr>
                </a:outerShdw>
              </a:effectLst>
              <a:scene3d>
                <a:camera prst="orthographicFront"/>
                <a:lightRig rig="threePt" dir="t"/>
              </a:scene3d>
              <a:sp3d contourW="9525"/>
            </c:spPr>
          </c:dPt>
          <c:dPt>
            <c:idx val="6"/>
            <c:bubble3D val="0"/>
            <c:spPr>
              <a:solidFill>
                <a:schemeClr val="accent1">
                  <a:lumMod val="60000"/>
                </a:schemeClr>
              </a:solidFill>
              <a:ln>
                <a:noFill/>
              </a:ln>
              <a:effectLst>
                <a:outerShdw blurRad="88900" sx="102000" sy="102000" algn="ctr" rotWithShape="0">
                  <a:prstClr val="black">
                    <a:alpha val="20000"/>
                  </a:prstClr>
                </a:outerShdw>
              </a:effectLst>
              <a:scene3d>
                <a:camera prst="orthographicFront"/>
                <a:lightRig rig="threePt" dir="t"/>
              </a:scene3d>
              <a:sp3d contourW="9525"/>
            </c:spPr>
          </c:dPt>
          <c:dPt>
            <c:idx val="7"/>
            <c:bubble3D val="0"/>
            <c:spPr>
              <a:solidFill>
                <a:schemeClr val="accent2">
                  <a:lumMod val="60000"/>
                </a:schemeClr>
              </a:solidFill>
              <a:ln>
                <a:noFill/>
              </a:ln>
              <a:effectLst>
                <a:outerShdw blurRad="88900" sx="102000" sy="102000" algn="ctr" rotWithShape="0">
                  <a:prstClr val="black">
                    <a:alpha val="20000"/>
                  </a:prstClr>
                </a:outerShdw>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900" b="1" i="0" u="none" strike="noStrike" kern="1200" baseline="0">
                        <a:solidFill>
                          <a:schemeClr val="lt1"/>
                        </a:solidFill>
                        <a:latin typeface="+mn-lt"/>
                        <a:ea typeface="+mn-ea"/>
                        <a:cs typeface="+mn-cs"/>
                      </a:defRPr>
                    </a:pPr>
                    <a:r>
                      <a:t>91</a:t>
                    </a:r>
                    <a:r>
                      <a:rPr lang="en-US" altLang="zh-CN"/>
                      <a:t>.45</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1" i="0" u="none" strike="noStrike" kern="1200" baseline="0">
                        <a:solidFill>
                          <a:schemeClr val="lt1"/>
                        </a:solidFill>
                        <a:latin typeface="+mn-lt"/>
                        <a:ea typeface="+mn-ea"/>
                        <a:cs typeface="+mn-cs"/>
                      </a:defRPr>
                    </a:pPr>
                    <a:r>
                      <a:rPr lang="en-US" altLang="zh-CN"/>
                      <a:t>8.55</a:t>
                    </a:r>
                    <a:r>
                      <a:t>%</a:t>
                    </a:r>
                  </a:p>
                </c:rich>
              </c:tx>
              <c:dLblPos val="inEnd"/>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extLst>
                <c:ext xmlns:c15="http://schemas.microsoft.com/office/drawing/2012/chart" uri="{02D57815-91ED-43cb-92C2-25804820EDAC}">
                  <c15:fullRef>
                    <c15:sqref>[工作簿1]Sheet1!$H$6:$H$13</c15:sqref>
                  </c15:fullRef>
                  <c15:levelRef>
                    <c15:sqref>[工作簿1]Sheet1!$H$6</c15:sqref>
                  </c15:levelRef>
                </c:ext>
              </c:extLst>
              <c:f>[工作簿1]Sheet1!$H$6</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[工作簿1]Sheet1!$I$6:$I$13</c:f>
              <c:numCache>
                <c:formatCode>General</c:formatCode>
                <c:ptCount val="8"/>
                <c:pt idx="0">
                  <c:v>899.39</c:v>
                </c:pt>
                <c:pt idx="1">
                  <c:v>84.06</c:v>
                </c:pt>
                <c:pt idx="2">
                  <c:v>0</c:v>
                </c:pt>
                <c:pt idx="3">
                  <c:v>0</c:v>
                </c:pt>
                <c:pt idx="4">
                  <c:v>0</c:v>
                </c:pt>
                <c:pt idx="5">
                  <c:v>0</c:v>
                </c:pt>
                <c:pt idx="6">
                  <c:v>0</c:v>
                </c:pt>
                <c:pt idx="7">
                  <c:v>0</c:v>
                </c:pt>
              </c:numCache>
            </c:numRef>
          </c:val>
        </c:ser>
        <c:dLbls>
          <c:showLegendKey val="0"/>
          <c:showVal val="0"/>
          <c:showCatName val="0"/>
          <c:showSerName val="0"/>
          <c:showPercent val="1"/>
          <c:showBubbleSize val="0"/>
        </c:dLbls>
        <c:extLst>
          <c:ext xmlns:c15="http://schemas.microsoft.com/office/drawing/2012/chart" uri="{02D57815-91ED-43cb-92C2-25804820EDAC}">
            <c15:filteredPieSeries>
              <c15:ser>
                <c:idx val="1"/>
                <c:order val="1"/>
                <c:spPr/>
                <c:explosion val="0"/>
                <c:dPt>
                  <c:idx val="0"/>
                  <c:bubble3D val="0"/>
                  <c:spPr>
                    <a:solidFill>
                      <a:schemeClr val="accent1"/>
                    </a:solidFill>
                    <a:ln>
                      <a:noFill/>
                    </a:ln>
                    <a:effectLst>
                      <a:outerShdw blurRad="88900" sx="102000" sy="102000" algn="ctr" rotWithShape="0">
                        <a:prstClr val="black">
                          <a:alpha val="20000"/>
                        </a:prstClr>
                      </a:outerShdw>
                    </a:effectLst>
                  </c:spPr>
                </c:dPt>
                <c:dPt>
                  <c:idx val="1"/>
                  <c:bubble3D val="0"/>
                  <c:spPr>
                    <a:solidFill>
                      <a:schemeClr val="accent2"/>
                    </a:solidFill>
                    <a:ln>
                      <a:noFill/>
                    </a:ln>
                    <a:effectLst>
                      <a:outerShdw blurRad="88900" sx="102000" sy="102000" algn="ctr" rotWithShape="0">
                        <a:prstClr val="black">
                          <a:alpha val="20000"/>
                        </a:prstClr>
                      </a:outerShdw>
                    </a:effectLst>
                  </c:spPr>
                </c:dPt>
                <c:dPt>
                  <c:idx val="2"/>
                  <c:bubble3D val="0"/>
                  <c:spPr>
                    <a:solidFill>
                      <a:schemeClr val="accent3"/>
                    </a:solidFill>
                    <a:ln>
                      <a:noFill/>
                    </a:ln>
                    <a:effectLst>
                      <a:outerShdw blurRad="88900" sx="102000" sy="102000" algn="ctr" rotWithShape="0">
                        <a:prstClr val="black">
                          <a:alpha val="20000"/>
                        </a:prstClr>
                      </a:outerShdw>
                    </a:effectLst>
                  </c:spPr>
                </c:dPt>
                <c:dPt>
                  <c:idx val="3"/>
                  <c:bubble3D val="0"/>
                  <c:spPr>
                    <a:solidFill>
                      <a:schemeClr val="accent4"/>
                    </a:solidFill>
                    <a:ln>
                      <a:noFill/>
                    </a:ln>
                    <a:effectLst>
                      <a:outerShdw blurRad="88900" sx="102000" sy="102000" algn="ctr" rotWithShape="0">
                        <a:prstClr val="black">
                          <a:alpha val="20000"/>
                        </a:prstClr>
                      </a:outerShdw>
                    </a:effectLst>
                  </c:spPr>
                </c:dPt>
                <c:dPt>
                  <c:idx val="4"/>
                  <c:bubble3D val="0"/>
                  <c:spPr>
                    <a:solidFill>
                      <a:schemeClr val="accent5"/>
                    </a:solidFill>
                    <a:ln>
                      <a:noFill/>
                    </a:ln>
                    <a:effectLst>
                      <a:outerShdw blurRad="88900" sx="102000" sy="102000" algn="ctr" rotWithShape="0">
                        <a:prstClr val="black">
                          <a:alpha val="20000"/>
                        </a:prstClr>
                      </a:outerShdw>
                    </a:effectLst>
                  </c:spPr>
                </c:dPt>
                <c:dPt>
                  <c:idx val="5"/>
                  <c:bubble3D val="0"/>
                  <c:spPr>
                    <a:solidFill>
                      <a:schemeClr val="accent6"/>
                    </a:solidFill>
                    <a:ln>
                      <a:noFill/>
                    </a:ln>
                    <a:effectLst>
                      <a:outerShdw blurRad="88900" sx="102000" sy="102000" algn="ctr" rotWithShape="0">
                        <a:prstClr val="black">
                          <a:alpha val="20000"/>
                        </a:prstClr>
                      </a:outerShdw>
                    </a:effectLst>
                  </c:spPr>
                </c:dPt>
                <c:dPt>
                  <c:idx val="6"/>
                  <c:bubble3D val="0"/>
                  <c:spPr>
                    <a:solidFill>
                      <a:schemeClr val="accent1">
                        <a:lumMod val="60000"/>
                      </a:schemeClr>
                    </a:solidFill>
                    <a:ln>
                      <a:noFill/>
                    </a:ln>
                    <a:effectLst>
                      <a:outerShdw blurRad="88900" sx="102000" sy="102000" algn="ctr" rotWithShape="0">
                        <a:prstClr val="black">
                          <a:alpha val="20000"/>
                        </a:prstClr>
                      </a:outerShdw>
                    </a:effectLst>
                  </c:spPr>
                </c:dPt>
                <c:dPt>
                  <c:idx val="7"/>
                  <c:bubble3D val="0"/>
                  <c:spPr>
                    <a:solidFill>
                      <a:schemeClr val="accent2">
                        <a:lumMod val="60000"/>
                      </a:schemeClr>
                    </a:solidFill>
                    <a:ln>
                      <a:noFill/>
                    </a:ln>
                    <a:effectLst>
                      <a:outerShdw blurRad="88900" sx="102000" sy="102000" algn="ctr" rotWithShape="0">
                        <a:prstClr val="black">
                          <a:alpha val="20000"/>
                        </a:prstClr>
                      </a:outerShdw>
                    </a:effectLst>
                  </c:spPr>
                </c:dPt>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extLst>
                      <c:ext uri="{02D57815-91ED-43cb-92C2-25804820EDAC}">
                        <c15:fullRef>
                          <c15:sqref>[工作簿1]Sheet1!$H$6:$H$13</c15:sqref>
                        </c15:fullRef>
                        <c15:levelRef>
                          <c15:sqref>[工作簿1]Sheet1!$H$6</c15:sqref>
                        </c15:levelRef>
                        <c15:formulaRef>
                          <c15:sqref>[工作簿1]Sheet1!$H$6</c15:sqref>
                        </c15:formulaRef>
                      </c:ext>
                    </c:extLst>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extLst>
                      <c:ext uri="{02D57815-91ED-43cb-92C2-25804820EDAC}">
                        <c15:formulaRef>
                          <c15:sqref>{0.9145,0.0855,0,0,0,0,0,0}</c15:sqref>
                        </c15:formulaRef>
                      </c:ext>
                    </c:extLst>
                    <c:numCache>
                      <c:formatCode>0.00%</c:formatCode>
                      <c:ptCount val="8"/>
                      <c:pt idx="0">
                        <c:v>0.9145</c:v>
                      </c:pt>
                      <c:pt idx="1">
                        <c:v>0.0855</c:v>
                      </c:pt>
                      <c:pt idx="2" c:formatCode="0%">
                        <c:v>0</c:v>
                      </c:pt>
                      <c:pt idx="3" c:formatCode="0%">
                        <c:v>0</c:v>
                      </c:pt>
                      <c:pt idx="4" c:formatCode="0%">
                        <c:v>0</c:v>
                      </c:pt>
                      <c:pt idx="5" c:formatCode="0%">
                        <c:v>0</c:v>
                      </c:pt>
                      <c:pt idx="6" c:formatCode="0%">
                        <c:v>0</c:v>
                      </c:pt>
                      <c:pt idx="7" c:formatCode="0%">
                        <c:v>0</c:v>
                      </c:pt>
                    </c:numCache>
                  </c:numRef>
                </c:val>
              </c15:ser>
            </c15:filteredPieSeries>
          </c:ext>
        </c:extLst>
      </c:pie3DChart>
      <c:spPr>
        <a:noFill/>
        <a:ln>
          <a:noFill/>
        </a:ln>
        <a:effectLst/>
      </c:spPr>
    </c:plotArea>
    <c:legend>
      <c:legendPos val="b"/>
      <c:layout/>
      <c:overlay val="0"/>
      <c:spPr>
        <a:solidFill>
          <a:schemeClr val="lt1">
            <a:alpha val="78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787bc8b-7911-495d-a070-1aa789181685}"/>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65000"/>
                    <a:lumOff val="35000"/>
                  </a:schemeClr>
                </a:solidFill>
                <a:latin typeface="+mn-lt"/>
                <a:ea typeface="+mn-ea"/>
                <a:cs typeface="+mn-cs"/>
              </a:defRPr>
            </a:pPr>
            <a:r>
              <a:t>支出决算图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9525"/>
          </c:spPr>
          <c:explosion val="0"/>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contourW="9525"/>
            </c:spPr>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contourW="9525"/>
            </c:spPr>
          </c:dPt>
          <c:dPt>
            <c:idx val="2"/>
            <c:bubble3D val="0"/>
            <c:spPr>
              <a:solidFill>
                <a:schemeClr val="accent3"/>
              </a:solidFill>
              <a:ln>
                <a:noFill/>
              </a:ln>
              <a:effectLst>
                <a:outerShdw blurRad="88900" sx="102000" sy="102000" algn="ctr" rotWithShape="0">
                  <a:prstClr val="black">
                    <a:alpha val="20000"/>
                  </a:prstClr>
                </a:outerShdw>
              </a:effectLst>
              <a:scene3d>
                <a:camera prst="orthographicFront"/>
                <a:lightRig rig="threePt" dir="t"/>
              </a:scene3d>
              <a:sp3d contourW="9525"/>
            </c:spPr>
          </c:dPt>
          <c:dPt>
            <c:idx val="3"/>
            <c:bubble3D val="0"/>
            <c:spPr>
              <a:solidFill>
                <a:schemeClr val="accent4"/>
              </a:solidFill>
              <a:ln>
                <a:noFill/>
              </a:ln>
              <a:effectLst>
                <a:outerShdw blurRad="88900" sx="102000" sy="102000" algn="ctr" rotWithShape="0">
                  <a:prstClr val="black">
                    <a:alpha val="20000"/>
                  </a:prstClr>
                </a:outerShdw>
              </a:effectLst>
              <a:scene3d>
                <a:camera prst="orthographicFront"/>
                <a:lightRig rig="threePt" dir="t"/>
              </a:scene3d>
              <a:sp3d contourW="9525"/>
            </c:spPr>
          </c:dPt>
          <c:dPt>
            <c:idx val="4"/>
            <c:bubble3D val="0"/>
            <c:spPr>
              <a:solidFill>
                <a:schemeClr val="accent5"/>
              </a:solidFill>
              <a:ln>
                <a:noFill/>
              </a:ln>
              <a:effectLst>
                <a:outerShdw blurRad="88900" sx="102000" sy="102000" algn="ctr" rotWithShape="0">
                  <a:prstClr val="black">
                    <a:alpha val="20000"/>
                  </a:prstClr>
                </a:outerShdw>
              </a:effectLst>
              <a:scene3d>
                <a:camera prst="orthographicFront"/>
                <a:lightRig rig="threePt" dir="t"/>
              </a:scene3d>
              <a:sp3d contourW="9525"/>
            </c:spPr>
          </c:dPt>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chemeClr val="lt1"/>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[工作簿1]Sheet2!$D$6:$D$10</c:f>
              <c:strCache>
                <c:ptCount val="5"/>
                <c:pt idx="0">
                  <c:v>基本支出</c:v>
                </c:pt>
                <c:pt idx="1">
                  <c:v>项目支出</c:v>
                </c:pt>
                <c:pt idx="2">
                  <c:v>上缴上级支出</c:v>
                </c:pt>
                <c:pt idx="3">
                  <c:v>经营支出</c:v>
                </c:pt>
                <c:pt idx="4">
                  <c:v>对附属单位补助支出</c:v>
                </c:pt>
              </c:strCache>
            </c:strRef>
          </c:cat>
          <c:val>
            <c:numRef>
              <c:f>[工作簿1]Sheet2!$E$6:$E$10</c:f>
              <c:numCache>
                <c:formatCode>General</c:formatCode>
                <c:ptCount val="5"/>
                <c:pt idx="0">
                  <c:v>713.31</c:v>
                </c:pt>
                <c:pt idx="1">
                  <c:v>893.08</c:v>
                </c:pt>
                <c:pt idx="2">
                  <c:v>0</c:v>
                </c:pt>
                <c:pt idx="3">
                  <c:v>0</c:v>
                </c:pt>
                <c:pt idx="4">
                  <c:v>0</c:v>
                </c:pt>
              </c:numCache>
            </c:numRef>
          </c:val>
        </c:ser>
        <c:dLbls>
          <c:showLegendKey val="0"/>
          <c:showVal val="0"/>
          <c:showCatName val="0"/>
          <c:showSerName val="0"/>
          <c:showPercent val="1"/>
          <c:showBubbleSize val="0"/>
        </c:dLbls>
      </c:pie3DChart>
      <c:spPr>
        <a:noFill/>
        <a:ln>
          <a:noFill/>
        </a:ln>
        <a:effectLst/>
      </c:spPr>
    </c:plotArea>
    <c:legend>
      <c:legendPos val="b"/>
      <c:layout/>
      <c:overlay val="0"/>
      <c:spPr>
        <a:solidFill>
          <a:schemeClr val="lt1">
            <a:alpha val="78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2aa8af6-80b8-4f49-aff4-6b73361ef735}"/>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0</Words>
  <Characters>0</Characters>
  <Lines>0</Lines>
  <Paragraphs>0</Paragraphs>
  <TotalTime>0</TotalTime>
  <ScaleCrop>false</ScaleCrop>
  <LinksUpToDate>false</LinksUpToDate>
  <CharactersWithSpaces>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2026-09-02T00:32:00Z</dcterms:created>
  <dc:creator>李桃</dc:creator>
  <cp:lastModifiedBy>user</cp:lastModifiedBy>
  <dcterms:modified xsi:type="dcterms:W3CDTF">2026-09-16T09:43:35Z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ACC431C62692167DA310A96A68D5C4D1_42</vt:lpwstr>
  </property>
</Properties>
</file>