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C040E">
      <w:pPr>
        <w:spacing w:line="360" w:lineRule="auto"/>
        <w:jc w:val="center"/>
        <w:rPr>
          <w:rFonts w:ascii="宋体" w:hAnsi="宋体"/>
          <w:sz w:val="24"/>
        </w:rPr>
      </w:pPr>
    </w:p>
    <w:p w14:paraId="677FB944">
      <w:pPr>
        <w:spacing w:line="360" w:lineRule="auto"/>
        <w:jc w:val="center"/>
        <w:rPr>
          <w:rFonts w:ascii="宋体" w:hAnsi="宋体"/>
          <w:sz w:val="24"/>
        </w:rPr>
      </w:pPr>
    </w:p>
    <w:p w14:paraId="6272F741">
      <w:pPr>
        <w:spacing w:line="360" w:lineRule="auto"/>
        <w:jc w:val="center"/>
        <w:rPr>
          <w:rFonts w:ascii="宋体" w:hAnsi="宋体"/>
          <w:sz w:val="24"/>
        </w:rPr>
      </w:pPr>
    </w:p>
    <w:p w14:paraId="21005E4D">
      <w:pPr>
        <w:spacing w:line="360" w:lineRule="auto"/>
        <w:jc w:val="center"/>
        <w:rPr>
          <w:rFonts w:ascii="宋体" w:hAnsi="宋体"/>
          <w:sz w:val="24"/>
        </w:rPr>
      </w:pPr>
    </w:p>
    <w:p w14:paraId="6C1111AF">
      <w:pPr>
        <w:spacing w:line="360" w:lineRule="auto"/>
        <w:jc w:val="center"/>
        <w:rPr>
          <w:rFonts w:hint="eastAsia" w:ascii="宋体" w:hAnsi="宋体"/>
          <w:b/>
          <w:bCs/>
          <w:sz w:val="52"/>
          <w:szCs w:val="52"/>
        </w:rPr>
      </w:pPr>
      <w:r>
        <w:rPr>
          <w:rFonts w:ascii="宋体" w:hAnsi="宋体"/>
          <w:b/>
          <w:bCs/>
          <w:sz w:val="52"/>
          <w:szCs w:val="52"/>
        </w:rPr>
        <w:t>2025</w:t>
      </w:r>
      <w:r>
        <w:rPr>
          <w:rFonts w:hint="eastAsia" w:ascii="宋体" w:hAnsi="宋体"/>
          <w:b/>
          <w:bCs/>
          <w:sz w:val="52"/>
          <w:szCs w:val="52"/>
        </w:rPr>
        <w:t>年度巴彦淖尔市住房和城乡建设局</w:t>
      </w:r>
    </w:p>
    <w:p w14:paraId="08B321C5">
      <w:pPr>
        <w:spacing w:line="360" w:lineRule="auto"/>
        <w:jc w:val="center"/>
        <w:rPr>
          <w:rFonts w:ascii="宋体" w:hAnsi="宋体"/>
          <w:b/>
          <w:bCs/>
          <w:sz w:val="52"/>
          <w:szCs w:val="52"/>
        </w:rPr>
      </w:pPr>
      <w:r>
        <w:rPr>
          <w:rFonts w:hint="eastAsia" w:ascii="宋体" w:hAnsi="宋体"/>
          <w:b/>
          <w:bCs/>
          <w:sz w:val="52"/>
          <w:szCs w:val="52"/>
          <w:lang w:eastAsia="zh-CN"/>
        </w:rPr>
        <w:t>（</w:t>
      </w:r>
      <w:r>
        <w:rPr>
          <w:rFonts w:hint="eastAsia" w:ascii="宋体" w:hAnsi="宋体"/>
          <w:b/>
          <w:bCs/>
          <w:sz w:val="52"/>
          <w:szCs w:val="52"/>
        </w:rPr>
        <w:t>部门</w:t>
      </w:r>
      <w:r>
        <w:rPr>
          <w:rFonts w:hint="eastAsia" w:ascii="宋体" w:hAnsi="宋体"/>
          <w:b/>
          <w:bCs/>
          <w:sz w:val="52"/>
          <w:szCs w:val="52"/>
          <w:lang w:eastAsia="zh-CN"/>
        </w:rPr>
        <w:t>）</w:t>
      </w:r>
      <w:r>
        <w:rPr>
          <w:rFonts w:hint="eastAsia" w:ascii="宋体" w:hAnsi="宋体"/>
          <w:b/>
          <w:bCs/>
          <w:sz w:val="52"/>
          <w:szCs w:val="52"/>
        </w:rPr>
        <w:t>公开报告</w:t>
      </w:r>
    </w:p>
    <w:p w14:paraId="34913B5D">
      <w:pPr>
        <w:spacing w:line="360" w:lineRule="auto"/>
        <w:jc w:val="center"/>
        <w:rPr>
          <w:rFonts w:ascii="宋体" w:hAnsi="宋体"/>
          <w:b/>
          <w:bCs/>
          <w:sz w:val="52"/>
          <w:szCs w:val="52"/>
        </w:rPr>
      </w:pPr>
    </w:p>
    <w:p w14:paraId="665FEDB8">
      <w:pPr>
        <w:spacing w:line="360" w:lineRule="auto"/>
        <w:jc w:val="center"/>
        <w:rPr>
          <w:rFonts w:ascii="宋体" w:hAnsi="宋体"/>
          <w:b/>
          <w:bCs/>
          <w:sz w:val="52"/>
          <w:szCs w:val="52"/>
        </w:rPr>
      </w:pPr>
    </w:p>
    <w:p w14:paraId="595593B8">
      <w:pPr>
        <w:spacing w:line="360" w:lineRule="auto"/>
        <w:jc w:val="center"/>
        <w:rPr>
          <w:rFonts w:ascii="宋体" w:hAnsi="宋体"/>
          <w:b/>
          <w:bCs/>
          <w:sz w:val="52"/>
          <w:szCs w:val="52"/>
        </w:rPr>
      </w:pPr>
    </w:p>
    <w:p w14:paraId="1AF248FE">
      <w:pPr>
        <w:spacing w:line="360" w:lineRule="auto"/>
        <w:jc w:val="center"/>
        <w:rPr>
          <w:rFonts w:ascii="宋体" w:hAnsi="宋体"/>
          <w:b/>
          <w:bCs/>
          <w:sz w:val="52"/>
          <w:szCs w:val="52"/>
        </w:rPr>
      </w:pPr>
    </w:p>
    <w:p w14:paraId="6BB60176">
      <w:pPr>
        <w:spacing w:line="360" w:lineRule="auto"/>
        <w:jc w:val="center"/>
        <w:rPr>
          <w:rFonts w:ascii="宋体" w:hAnsi="宋体"/>
          <w:b/>
          <w:bCs/>
          <w:sz w:val="52"/>
          <w:szCs w:val="52"/>
        </w:rPr>
      </w:pPr>
    </w:p>
    <w:p w14:paraId="32F40362">
      <w:pPr>
        <w:ind w:firstLine="2241" w:firstLineChars="700"/>
        <w:rPr>
          <w:rFonts w:ascii="仿宋" w:hAnsi="仿宋" w:eastAsia="仿宋"/>
          <w:b/>
          <w:sz w:val="32"/>
          <w:szCs w:val="32"/>
        </w:rPr>
        <w:sectPr>
          <w:footerReference r:id="rId3" w:type="default"/>
          <w:pgSz w:w="11906" w:h="16838"/>
          <w:pgMar w:top="1440" w:right="1083" w:bottom="1440" w:left="1083" w:header="0" w:footer="720" w:gutter="0"/>
          <w:cols w:space="425" w:num="1"/>
          <w:docGrid w:type="lines" w:linePitch="312" w:charSpace="0"/>
        </w:sectPr>
      </w:pPr>
    </w:p>
    <w:p w14:paraId="17C1A944">
      <w:pPr>
        <w:pStyle w:val="30"/>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53EEB2F">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630B3BC3">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14:paraId="1113E44E">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79B65245">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二、部门（单位）机构设置及决算单位构成情况</w:t>
      </w:r>
    </w:p>
    <w:p w14:paraId="188920AB">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14:paraId="77851B8E">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14:paraId="12071C3F">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5B6FBC2C">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1EB01B3E">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50E04CAB">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10DFBE60">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4CF0D063">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4C5C9307">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38ED8B18">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20B12F6C">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38FBD67F">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172C3C41">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7B47F6EE">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3EF0189C">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1C954616">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584C58AD">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2DAEBC54">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0481211D">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14:paraId="09FDCD17">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5CCDF7AA">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5BC458E7">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1E73091C">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0602E80F">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3F8487A6">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0CCC9C7F">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6C80968F">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055453D3">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0AA8F7E1">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31672D0C">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59AD25CF">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14:paraId="1BFF6488">
      <w:pPr>
        <w:pStyle w:val="30"/>
        <w:widowControl/>
        <w:numPr>
          <w:ilvl w:val="0"/>
          <w:numId w:val="1"/>
        </w:numPr>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主要职能、职责</w:t>
      </w:r>
    </w:p>
    <w:p w14:paraId="05BCDB5A">
      <w:pPr>
        <w:pStyle w:val="30"/>
        <w:widowControl/>
        <w:spacing w:before="240" w:after="240" w:line="600" w:lineRule="atLeast"/>
        <w:ind w:firstLine="640"/>
        <w:jc w:val="left"/>
        <w:rPr>
          <w:rFonts w:hint="eastAsia" w:ascii="FangSong_GB2312" w:hAnsi="FangSong_GB2312" w:eastAsia="FangSong_GB2312" w:cs="FangSong_GB2312"/>
          <w:kern w:val="0"/>
          <w:sz w:val="32"/>
          <w:szCs w:val="32"/>
          <w:lang w:eastAsia="en-US"/>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主要职能。</w:t>
      </w:r>
    </w:p>
    <w:p w14:paraId="65243BF6">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（一）贯彻落实住房和城乡建设的地方性法规、规章。提出住房和城乡建设重大问题的政策建议，拟订并组织实施住房和城乡建设事业发展战略、中长期规划。</w:t>
      </w:r>
    </w:p>
    <w:p w14:paraId="3E97EBF8">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（二）推进住房制度改革，建立多主体供给、多渠道保障、租购并举的住房制度。指导城镇住房保障工作，拟订保障性住房政策并监督实施；拟订保障性住房、保障性安居工程发展规划和年度计划并监督实施。</w:t>
      </w:r>
    </w:p>
    <w:p w14:paraId="5552CDDD">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三）承担房地产市场监管和房地产业发展工作。会同有关部门拟订房地产市场监管和调控政策、规章制度并监督执行。参与拟订房地产业发展规划和产业政策。拟订房地产开发、房屋权属管理、房屋租赁、房屋面积管理、房地产估价与经纪管理、物业管理、房屋征收的规章制度并监督执行。指导监督房屋产权管理工作，协同指导房屋登记工作。</w:t>
      </w:r>
    </w:p>
    <w:p w14:paraId="63CB605D">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四）监督实施国家工程建设标准和有关行业标准。负责监督工程建设地方标准和工程建设定额的实施。承担建设工程造价管理工作。监督建设项目可行性研究评价方法、经济参数、建设标准和工程造价的管理制度的实施，监督公共服务设施（不含通信设施）建设标准的实施。指导监督各类工程建设标准定额的实施和工程造价计价，组织发布工程建设定额和工程造价信息。</w:t>
      </w:r>
    </w:p>
    <w:p w14:paraId="7D2D5D2B">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五）监督管理建筑市场，规范市场主体行为。拟订规范建筑市场、行业监管和建设活动的规章制度并监督执行。拟订建筑业、勘察设计业、工程监理咨询业的行业发展政策、中长期规划并指导实施，负责相关企业、单位的监督管理。管理和指导室内装饰业。引导建筑企业参与对外承包、建筑劳务合作。</w:t>
      </w:r>
    </w:p>
    <w:p w14:paraId="5A6026DE">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六）承担建筑工程质量安全监管责任。拟订建筑工程质量、建筑安全生产、防雷装置设计审核和工程竣工验收备案的政策、规章制度并监督执行。拟定相关技术政策并指导实施。参与工程重大质量、安全事的调查处理。指导监督建设工程消防设计审查验收。</w:t>
      </w:r>
    </w:p>
    <w:p w14:paraId="01295F57">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（七）指导城市勘察、市政工程测量、城市地下空间开发利用和城市雕塑工作。参与拟订城市修补和生态修复的政策和制度并监督执行。会同文物主管部门负责历史文化名城（镇、村）的保护和监督管理工作。</w:t>
      </w:r>
    </w:p>
    <w:p w14:paraId="70211090">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八）指导城市建设和管理工作。参与拟订城市建设、管理的政策和制度并指导实施。组织编制城市建设和市政公用事业的中长期发展规划并指导实施。指导城市市政公用设施建设和运行安全管理工作。负责城市建设档案管理工作。</w:t>
      </w:r>
    </w:p>
    <w:p w14:paraId="1EF765E6">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九）指导城市管理执法工作。参与拟订城市管理执法监督的政策和制度并监督执行。指导监督集中行使住房和城乡建设领域以及与城市管理相关的跨部门、跨领域的相关行政执法和行政处罚工作。组织查处住房和城乡建设领域重大案件。</w:t>
      </w:r>
    </w:p>
    <w:p w14:paraId="196338B7">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（十）指导村镇建设工作。参与拟订小城镇和村庄建设的政策、发展规划并指导实施。指导农村牧区住房建设和危房改造工作。指导重点镇建设和传统村落、传统建筑的保护发展工作。</w:t>
      </w:r>
    </w:p>
    <w:p w14:paraId="75E75FD5">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十一）指导建筑节能和城镇减排工作。会同有关部门拟订建筑节能、城镇减排和科技相关政策、发展规划并监督实施。拟订绿色建筑、装配式建筑发展规划并指导实施。指导新型墙体材料发展工作。指导和组织实施重大建筑节能项目、重大科技项目攻关和科技成果转化推广。</w:t>
      </w:r>
    </w:p>
    <w:p w14:paraId="46E7739E">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十二）指导住房公积金管理工作。会同有关部门拟订住房公积金政策、发展规划并组织实施。拟订住房公积金缴存、使用、管理和监督制度。监督住房公积金和其他住房资金的管理、使用和安全。管理住房公积金信息系统。</w:t>
      </w:r>
    </w:p>
    <w:p w14:paraId="1E1411A6">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（十三）指导住房和城乡建设领域人才队伍建设，开展对外交流与合作。</w:t>
      </w:r>
    </w:p>
    <w:p w14:paraId="44F39BF0">
      <w:pPr>
        <w:keepNext w:val="0"/>
        <w:keepLines w:val="0"/>
        <w:pageBreakBefore w:val="0"/>
        <w:widowControl/>
        <w:kinsoku/>
        <w:wordWrap/>
        <w:overflowPunct/>
        <w:topLinePunct w:val="0"/>
        <w:autoSpaceDE/>
        <w:autoSpaceDN/>
        <w:bidi w:val="0"/>
        <w:adjustRightInd/>
        <w:snapToGrid/>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（十四）完成市委、市政府交办的其他任务。　</w:t>
      </w:r>
    </w:p>
    <w:p w14:paraId="78611900">
      <w:pPr>
        <w:keepNext w:val="0"/>
        <w:keepLines w:val="0"/>
        <w:pageBreakBefore w:val="0"/>
        <w:widowControl/>
        <w:kinsoku/>
        <w:wordWrap/>
        <w:overflowPunct/>
        <w:topLinePunct w:val="0"/>
        <w:autoSpaceDE/>
        <w:autoSpaceDN/>
        <w:bidi w:val="0"/>
        <w:adjustRightInd/>
        <w:snapToGrid/>
        <w:ind w:firstLine="640"/>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巴彦淖尔市住房和城乡建设局所属事业单位的设置、职责和编制事项另行规定。</w:t>
      </w:r>
    </w:p>
    <w:p w14:paraId="2EF51B2F">
      <w:pPr>
        <w:keepNext w:val="0"/>
        <w:keepLines w:val="0"/>
        <w:pageBreakBefore w:val="0"/>
        <w:widowControl/>
        <w:kinsoku/>
        <w:wordWrap/>
        <w:overflowPunct/>
        <w:topLinePunct w:val="0"/>
        <w:autoSpaceDE/>
        <w:autoSpaceDN/>
        <w:bidi w:val="0"/>
        <w:adjustRightInd/>
        <w:snapToGrid/>
        <w:ind w:firstLine="640"/>
        <w:jc w:val="left"/>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本规定由中共巴彦淖尔市委员会机构编制委员会办公室负责解释，其调整由中共巴彦淖尔市委员会机构编制委员会办公室按规定程序办理。</w:t>
      </w:r>
    </w:p>
    <w:p w14:paraId="79064C54">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14:paraId="6DA8C9E6">
      <w:pPr>
        <w:pStyle w:val="30"/>
        <w:widowControl/>
        <w:spacing w:before="240" w:after="240" w:line="600" w:lineRule="atLeast"/>
        <w:ind w:firstLine="64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根据部门职责分工，本部门内设机构包括</w:t>
      </w:r>
      <w:bookmarkStart w:id="4" w:name="_GoBack"/>
      <w:bookmarkEnd w:id="4"/>
      <w:r>
        <w:rPr>
          <w:rFonts w:hint="eastAsia" w:ascii="FangSong_GB2312" w:hAnsi="FangSong_GB2312" w:eastAsia="FangSong_GB2312" w:cs="FangSong_GB2312"/>
          <w:kern w:val="0"/>
          <w:sz w:val="32"/>
          <w:szCs w:val="32"/>
          <w:lang w:val="en-US" w:eastAsia="zh-CN"/>
        </w:rPr>
        <w:t>17个科室</w:t>
      </w:r>
      <w:r>
        <w:rPr>
          <w:rFonts w:ascii="FangSong_GB2312" w:hAnsi="FangSong_GB2312" w:eastAsia="FangSong_GB2312" w:cs="FangSong_GB2312"/>
          <w:kern w:val="0"/>
          <w:sz w:val="32"/>
          <w:szCs w:val="32"/>
        </w:rPr>
        <w:t>。本单位下属单位</w:t>
      </w:r>
      <w:r>
        <w:rPr>
          <w:rFonts w:hint="eastAsia" w:ascii="FangSong_GB2312" w:hAnsi="FangSong_GB2312" w:eastAsia="FangSong_GB2312" w:cs="FangSong_GB2312"/>
          <w:kern w:val="0"/>
          <w:sz w:val="32"/>
          <w:szCs w:val="32"/>
          <w:lang w:val="en-US" w:eastAsia="zh-CN"/>
        </w:rPr>
        <w:t>8个</w:t>
      </w:r>
      <w:r>
        <w:rPr>
          <w:rFonts w:ascii="FangSong_GB2312" w:hAnsi="FangSong_GB2312" w:eastAsia="FangSong_GB2312" w:cs="FangSong_GB2312"/>
          <w:kern w:val="0"/>
          <w:sz w:val="32"/>
          <w:szCs w:val="32"/>
        </w:rPr>
        <w:t>包括：</w:t>
      </w:r>
      <w:r>
        <w:rPr>
          <w:rFonts w:hint="eastAsia" w:ascii="FangSong_GB2312" w:hAnsi="FangSong_GB2312" w:eastAsia="FangSong_GB2312" w:cs="FangSong_GB2312"/>
          <w:kern w:val="0"/>
          <w:sz w:val="32"/>
          <w:szCs w:val="32"/>
        </w:rPr>
        <w:t>巴彦淖尔市城市生活垃圾分类指导中心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巴彦淖尔市住房公积金中心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巴彦淖尔市城市新区发展中心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巴彦淖尔市住房和城乡建设综合保障服务中心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巴彦淖尔市城乡建设绿色节能发展中心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巴彦淖尔市房屋产权交易中心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巴彦淖尔市建设工程质量安全技术服务中心</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巴彦淖尔市建设工程消防技术服务中心</w:t>
      </w:r>
      <w:r>
        <w:rPr>
          <w:rFonts w:hint="eastAsia" w:ascii="FangSong_GB2312" w:hAnsi="FangSong_GB2312" w:eastAsia="FangSong_GB2312" w:cs="FangSong_GB2312"/>
          <w:kern w:val="0"/>
          <w:sz w:val="32"/>
          <w:szCs w:val="32"/>
          <w:lang w:eastAsia="zh-CN"/>
        </w:rPr>
        <w:t>。</w:t>
      </w:r>
    </w:p>
    <w:p w14:paraId="5F7FDCE3">
      <w:pPr>
        <w:pStyle w:val="30"/>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rPr>
        <w:t>从决算单位构成看，纳入本部门（单位）决算编制范围的预算单位共计9家，具体包括：巴彦淖尔市住房和城乡建设局本级及下属8家单位。详细情况见表</w:t>
      </w:r>
      <w:r>
        <w:rPr>
          <w:rFonts w:ascii="FangSong_GB2312" w:hAnsi="FangSong_GB2312" w:eastAsia="FangSong_GB2312" w:cs="FangSong_GB2312"/>
          <w:kern w:val="0"/>
          <w:sz w:val="32"/>
          <w:szCs w:val="32"/>
        </w:rPr>
        <w:t>：</w:t>
      </w:r>
    </w:p>
    <w:tbl>
      <w:tblPr>
        <w:tblStyle w:val="20"/>
        <w:tblW w:w="9604" w:type="dxa"/>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072"/>
        <w:gridCol w:w="6306"/>
        <w:gridCol w:w="2226"/>
      </w:tblGrid>
      <w:tr w14:paraId="1EDD0E7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1DD8AB55">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序号</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71D94D77">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单位名称</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1DB5DF1D">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单位性质</w:t>
            </w:r>
          </w:p>
        </w:tc>
      </w:tr>
      <w:tr w14:paraId="309442C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17075A0">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1</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0C589C4">
            <w:pPr>
              <w:widowControl/>
              <w:jc w:val="left"/>
              <w:rPr>
                <w:rFonts w:ascii="Times New Roman" w:hAnsi="Times New Roman" w:eastAsia="Times New Roman" w:cs="Times New Roman"/>
                <w:b w:val="0"/>
                <w:bCs w:val="0"/>
                <w:i w:val="0"/>
                <w:iCs w:val="0"/>
                <w:smallCaps w:val="0"/>
                <w:color w:val="000000"/>
                <w:kern w:val="0"/>
                <w:sz w:val="24"/>
              </w:rPr>
            </w:pPr>
            <w:r>
              <w:rPr>
                <w:rFonts w:hint="eastAsia" w:ascii="仿宋_GB2312" w:hAnsi="仿宋_GB2312" w:eastAsia="仿宋_GB2312" w:cs="仿宋_GB2312"/>
                <w:kern w:val="0"/>
                <w:sz w:val="27"/>
                <w:szCs w:val="27"/>
                <w:lang w:val="en-US" w:eastAsia="zh-CN"/>
              </w:rPr>
              <w:t>巴彦淖尔市住房和城乡建设局</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D895F7C">
            <w:pPr>
              <w:widowControl/>
              <w:jc w:val="left"/>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行政单位</w:t>
            </w:r>
          </w:p>
        </w:tc>
      </w:tr>
      <w:tr w14:paraId="6CB1436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C37279A">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2</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EEEE733">
            <w:pPr>
              <w:widowControl/>
              <w:jc w:val="left"/>
              <w:rPr>
                <w:rFonts w:ascii="Times New Roman" w:hAnsi="Times New Roman" w:eastAsia="Times New Roman" w:cs="Times New Roman"/>
                <w:b w:val="0"/>
                <w:bCs w:val="0"/>
                <w:i w:val="0"/>
                <w:iCs w:val="0"/>
                <w:smallCaps w:val="0"/>
                <w:color w:val="000000"/>
                <w:kern w:val="0"/>
                <w:sz w:val="24"/>
              </w:rPr>
            </w:pPr>
            <w:r>
              <w:rPr>
                <w:rFonts w:hint="eastAsia" w:ascii="仿宋_GB2312" w:hAnsi="仿宋_GB2312" w:eastAsia="仿宋_GB2312" w:cs="仿宋_GB2312"/>
                <w:kern w:val="0"/>
                <w:sz w:val="27"/>
                <w:szCs w:val="27"/>
              </w:rPr>
              <w:t>巴彦淖尔市城市生活垃圾分类指导中心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A0C21CC">
            <w:pPr>
              <w:widowControl/>
              <w:jc w:val="left"/>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1248E3A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BE6536D">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3</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BFA58AF">
            <w:pPr>
              <w:widowControl/>
              <w:jc w:val="left"/>
              <w:rPr>
                <w:rFonts w:ascii="Times New Roman" w:hAnsi="Times New Roman" w:eastAsia="Times New Roman" w:cs="Times New Roman"/>
                <w:b w:val="0"/>
                <w:bCs w:val="0"/>
                <w:i w:val="0"/>
                <w:iCs w:val="0"/>
                <w:smallCaps w:val="0"/>
                <w:color w:val="000000"/>
                <w:kern w:val="0"/>
                <w:sz w:val="24"/>
              </w:rPr>
            </w:pPr>
            <w:r>
              <w:rPr>
                <w:rFonts w:hint="eastAsia" w:ascii="仿宋_GB2312" w:hAnsi="仿宋_GB2312" w:eastAsia="仿宋_GB2312" w:cs="仿宋_GB2312"/>
                <w:kern w:val="0"/>
                <w:sz w:val="27"/>
                <w:szCs w:val="27"/>
              </w:rPr>
              <w:t>巴彦淖尔市住房公积金中心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7BFF9EEA">
            <w:pPr>
              <w:widowControl/>
              <w:jc w:val="left"/>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65C3E72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E6957A0">
            <w:pPr>
              <w:widowControl/>
              <w:jc w:val="center"/>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4</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4DE5657">
            <w:pPr>
              <w:widowControl/>
              <w:jc w:val="left"/>
              <w:rPr>
                <w:rFonts w:ascii="Times New Roman" w:hAnsi="Times New Roman" w:eastAsia="Times New Roman" w:cs="Times New Roman"/>
                <w:b w:val="0"/>
                <w:bCs w:val="0"/>
                <w:i w:val="0"/>
                <w:iCs w:val="0"/>
                <w:smallCaps w:val="0"/>
                <w:color w:val="000000"/>
                <w:kern w:val="0"/>
                <w:sz w:val="24"/>
              </w:rPr>
            </w:pPr>
            <w:r>
              <w:rPr>
                <w:rFonts w:hint="eastAsia" w:ascii="仿宋_GB2312" w:hAnsi="仿宋_GB2312" w:eastAsia="仿宋_GB2312" w:cs="仿宋_GB2312"/>
                <w:kern w:val="0"/>
                <w:sz w:val="27"/>
                <w:szCs w:val="27"/>
              </w:rPr>
              <w:t>巴彦淖尔市城市新区发展中心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1A1A5E55">
            <w:pPr>
              <w:widowControl/>
              <w:jc w:val="left"/>
              <w:rPr>
                <w:rFonts w:ascii="Times New Roman" w:hAnsi="Times New Roman" w:eastAsia="Times New Roman" w:cs="Times New Roman"/>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3B7E5F7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508F823">
            <w:pPr>
              <w:widowControl/>
              <w:jc w:val="center"/>
              <w:rPr>
                <w:rFonts w:hint="eastAsia"/>
                <w:lang w:val="en-US" w:eastAsia="zh-CN"/>
              </w:rPr>
            </w:pPr>
            <w:r>
              <w:rPr>
                <w:rFonts w:hint="eastAsia" w:ascii="仿宋_GB2312" w:hAnsi="仿宋_GB2312" w:eastAsia="仿宋_GB2312" w:cs="仿宋_GB2312"/>
                <w:b w:val="0"/>
                <w:bCs w:val="0"/>
                <w:i w:val="0"/>
                <w:iCs w:val="0"/>
                <w:smallCaps w:val="0"/>
                <w:color w:val="000000"/>
                <w:kern w:val="0"/>
                <w:sz w:val="24"/>
                <w:lang w:val="en-US" w:eastAsia="zh-CN"/>
              </w:rPr>
              <w:t>5</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DF5D0E2">
            <w:pPr>
              <w:widowControl/>
              <w:jc w:val="left"/>
              <w:rPr>
                <w:rFonts w:ascii="仿宋_GB2312" w:hAnsi="仿宋_GB2312" w:eastAsia="仿宋_GB2312" w:cs="仿宋_GB2312"/>
                <w:b w:val="0"/>
                <w:bCs w:val="0"/>
                <w:i w:val="0"/>
                <w:iCs w:val="0"/>
                <w:smallCaps w:val="0"/>
                <w:color w:val="000000"/>
                <w:kern w:val="0"/>
                <w:sz w:val="24"/>
              </w:rPr>
            </w:pPr>
            <w:r>
              <w:rPr>
                <w:rFonts w:hint="eastAsia" w:ascii="仿宋_GB2312" w:hAnsi="仿宋_GB2312" w:eastAsia="仿宋_GB2312" w:cs="仿宋_GB2312"/>
                <w:kern w:val="0"/>
                <w:sz w:val="27"/>
                <w:szCs w:val="27"/>
              </w:rPr>
              <w:t>巴彦淖尔市住房和城乡建设综合保障服务中心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7AF2D034">
            <w:pPr>
              <w:widowControl/>
              <w:jc w:val="left"/>
              <w:rPr>
                <w:rFonts w:ascii="仿宋_GB2312" w:hAnsi="仿宋_GB2312" w:eastAsia="仿宋_GB2312" w:cs="仿宋_GB2312"/>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19F6C15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7E12EDA5">
            <w:pPr>
              <w:widowControl/>
              <w:jc w:val="center"/>
              <w:rPr>
                <w:rFonts w:hint="eastAsia" w:ascii="仿宋_GB2312" w:hAnsi="仿宋_GB2312" w:eastAsia="仿宋_GB2312" w:cs="仿宋_GB2312"/>
                <w:b w:val="0"/>
                <w:bCs w:val="0"/>
                <w:i w:val="0"/>
                <w:iCs w:val="0"/>
                <w:smallCaps w:val="0"/>
                <w:color w:val="000000"/>
                <w:kern w:val="0"/>
                <w:sz w:val="24"/>
                <w:lang w:val="en-US" w:eastAsia="zh-CN"/>
              </w:rPr>
            </w:pPr>
            <w:r>
              <w:rPr>
                <w:rFonts w:hint="eastAsia" w:ascii="仿宋_GB2312" w:hAnsi="仿宋_GB2312" w:eastAsia="仿宋_GB2312" w:cs="仿宋_GB2312"/>
                <w:b w:val="0"/>
                <w:bCs w:val="0"/>
                <w:i w:val="0"/>
                <w:iCs w:val="0"/>
                <w:smallCaps w:val="0"/>
                <w:color w:val="000000"/>
                <w:kern w:val="0"/>
                <w:sz w:val="24"/>
                <w:lang w:val="en-US" w:eastAsia="zh-CN"/>
              </w:rPr>
              <w:t>6</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7E1FF90">
            <w:pPr>
              <w:widowControl/>
              <w:jc w:val="left"/>
              <w:rPr>
                <w:rFonts w:ascii="仿宋_GB2312" w:hAnsi="仿宋_GB2312" w:eastAsia="仿宋_GB2312" w:cs="仿宋_GB2312"/>
                <w:b w:val="0"/>
                <w:bCs w:val="0"/>
                <w:i w:val="0"/>
                <w:iCs w:val="0"/>
                <w:smallCaps w:val="0"/>
                <w:color w:val="000000"/>
                <w:kern w:val="0"/>
                <w:sz w:val="24"/>
              </w:rPr>
            </w:pPr>
            <w:r>
              <w:rPr>
                <w:rFonts w:hint="eastAsia" w:ascii="仿宋_GB2312" w:hAnsi="仿宋_GB2312" w:eastAsia="仿宋_GB2312" w:cs="仿宋_GB2312"/>
                <w:kern w:val="0"/>
                <w:sz w:val="27"/>
                <w:szCs w:val="27"/>
              </w:rPr>
              <w:t>巴彦淖尔市城乡建设绿色节能发展中心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F09BD00">
            <w:pPr>
              <w:widowControl/>
              <w:jc w:val="left"/>
              <w:rPr>
                <w:rFonts w:ascii="仿宋_GB2312" w:hAnsi="仿宋_GB2312" w:eastAsia="仿宋_GB2312" w:cs="仿宋_GB2312"/>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4BF487C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E8EEF66">
            <w:pPr>
              <w:widowControl/>
              <w:jc w:val="center"/>
              <w:rPr>
                <w:rFonts w:hint="eastAsia" w:ascii="仿宋_GB2312" w:hAnsi="仿宋_GB2312" w:eastAsia="仿宋_GB2312" w:cs="仿宋_GB2312"/>
                <w:b w:val="0"/>
                <w:bCs w:val="0"/>
                <w:i w:val="0"/>
                <w:iCs w:val="0"/>
                <w:smallCaps w:val="0"/>
                <w:color w:val="000000"/>
                <w:kern w:val="0"/>
                <w:sz w:val="24"/>
                <w:lang w:val="en-US" w:eastAsia="zh-CN"/>
              </w:rPr>
            </w:pPr>
            <w:r>
              <w:rPr>
                <w:rFonts w:hint="eastAsia" w:ascii="仿宋_GB2312" w:hAnsi="仿宋_GB2312" w:eastAsia="仿宋_GB2312" w:cs="仿宋_GB2312"/>
                <w:b w:val="0"/>
                <w:bCs w:val="0"/>
                <w:i w:val="0"/>
                <w:iCs w:val="0"/>
                <w:smallCaps w:val="0"/>
                <w:color w:val="000000"/>
                <w:kern w:val="0"/>
                <w:sz w:val="24"/>
                <w:lang w:val="en-US" w:eastAsia="zh-CN"/>
              </w:rPr>
              <w:t>7</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A6B2C9B">
            <w:pPr>
              <w:widowControl/>
              <w:jc w:val="left"/>
              <w:rPr>
                <w:rFonts w:ascii="仿宋_GB2312" w:hAnsi="仿宋_GB2312" w:eastAsia="仿宋_GB2312" w:cs="仿宋_GB2312"/>
                <w:b w:val="0"/>
                <w:bCs w:val="0"/>
                <w:i w:val="0"/>
                <w:iCs w:val="0"/>
                <w:smallCaps w:val="0"/>
                <w:color w:val="000000"/>
                <w:kern w:val="0"/>
                <w:sz w:val="24"/>
              </w:rPr>
            </w:pPr>
            <w:r>
              <w:rPr>
                <w:rFonts w:hint="eastAsia" w:ascii="仿宋_GB2312" w:hAnsi="仿宋_GB2312" w:eastAsia="仿宋_GB2312" w:cs="仿宋_GB2312"/>
                <w:kern w:val="0"/>
                <w:sz w:val="27"/>
                <w:szCs w:val="27"/>
              </w:rPr>
              <w:t>巴彦淖尔市房屋产权交易中心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A1BAA9C">
            <w:pPr>
              <w:widowControl/>
              <w:jc w:val="left"/>
              <w:rPr>
                <w:rFonts w:ascii="仿宋_GB2312" w:hAnsi="仿宋_GB2312" w:eastAsia="仿宋_GB2312" w:cs="仿宋_GB2312"/>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78FC3B4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55B4CDF">
            <w:pPr>
              <w:widowControl/>
              <w:jc w:val="center"/>
              <w:rPr>
                <w:rFonts w:hint="eastAsia" w:ascii="仿宋_GB2312" w:hAnsi="仿宋_GB2312" w:eastAsia="仿宋_GB2312" w:cs="仿宋_GB2312"/>
                <w:b w:val="0"/>
                <w:bCs w:val="0"/>
                <w:i w:val="0"/>
                <w:iCs w:val="0"/>
                <w:smallCaps w:val="0"/>
                <w:color w:val="000000"/>
                <w:kern w:val="0"/>
                <w:sz w:val="24"/>
                <w:lang w:val="en-US" w:eastAsia="zh-CN"/>
              </w:rPr>
            </w:pPr>
            <w:r>
              <w:rPr>
                <w:rFonts w:hint="eastAsia" w:ascii="仿宋_GB2312" w:hAnsi="仿宋_GB2312" w:eastAsia="仿宋_GB2312" w:cs="仿宋_GB2312"/>
                <w:b w:val="0"/>
                <w:bCs w:val="0"/>
                <w:i w:val="0"/>
                <w:iCs w:val="0"/>
                <w:smallCaps w:val="0"/>
                <w:color w:val="000000"/>
                <w:kern w:val="0"/>
                <w:sz w:val="24"/>
                <w:lang w:val="en-US" w:eastAsia="zh-CN"/>
              </w:rPr>
              <w:t>8</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1425C20F">
            <w:pPr>
              <w:widowControl/>
              <w:jc w:val="left"/>
              <w:rPr>
                <w:rFonts w:ascii="仿宋_GB2312" w:hAnsi="仿宋_GB2312" w:eastAsia="仿宋_GB2312" w:cs="仿宋_GB2312"/>
                <w:b w:val="0"/>
                <w:bCs w:val="0"/>
                <w:i w:val="0"/>
                <w:iCs w:val="0"/>
                <w:smallCaps w:val="0"/>
                <w:color w:val="000000"/>
                <w:kern w:val="0"/>
                <w:sz w:val="24"/>
              </w:rPr>
            </w:pPr>
            <w:r>
              <w:rPr>
                <w:rFonts w:hint="eastAsia" w:ascii="仿宋_GB2312" w:hAnsi="仿宋_GB2312" w:eastAsia="仿宋_GB2312" w:cs="仿宋_GB2312"/>
                <w:kern w:val="0"/>
                <w:sz w:val="27"/>
                <w:szCs w:val="27"/>
              </w:rPr>
              <w:t>巴彦淖尔市建设工程质量安全技术服务中心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C92548D">
            <w:pPr>
              <w:widowControl/>
              <w:jc w:val="left"/>
              <w:rPr>
                <w:rFonts w:ascii="仿宋_GB2312" w:hAnsi="仿宋_GB2312" w:eastAsia="仿宋_GB2312" w:cs="仿宋_GB2312"/>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r w14:paraId="7C7DE7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61616557">
            <w:pPr>
              <w:widowControl/>
              <w:jc w:val="center"/>
              <w:rPr>
                <w:rFonts w:hint="default" w:ascii="仿宋_GB2312" w:hAnsi="仿宋_GB2312" w:eastAsia="仿宋_GB2312" w:cs="仿宋_GB2312"/>
                <w:b w:val="0"/>
                <w:bCs w:val="0"/>
                <w:i w:val="0"/>
                <w:iCs w:val="0"/>
                <w:smallCaps w:val="0"/>
                <w:color w:val="000000"/>
                <w:kern w:val="0"/>
                <w:sz w:val="24"/>
                <w:lang w:val="en-US" w:eastAsia="zh-CN"/>
              </w:rPr>
            </w:pPr>
            <w:r>
              <w:rPr>
                <w:rFonts w:hint="eastAsia" w:ascii="仿宋_GB2312" w:hAnsi="仿宋_GB2312" w:eastAsia="仿宋_GB2312" w:cs="仿宋_GB2312"/>
                <w:b w:val="0"/>
                <w:bCs w:val="0"/>
                <w:i w:val="0"/>
                <w:iCs w:val="0"/>
                <w:smallCaps w:val="0"/>
                <w:color w:val="000000"/>
                <w:kern w:val="0"/>
                <w:sz w:val="24"/>
                <w:lang w:val="en-US" w:eastAsia="zh-CN"/>
              </w:rPr>
              <w:t>9</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3B48C68">
            <w:pPr>
              <w:widowControl/>
              <w:jc w:val="left"/>
              <w:rPr>
                <w:rFonts w:ascii="仿宋_GB2312" w:hAnsi="仿宋_GB2312" w:eastAsia="仿宋_GB2312" w:cs="仿宋_GB2312"/>
                <w:b w:val="0"/>
                <w:bCs w:val="0"/>
                <w:i w:val="0"/>
                <w:iCs w:val="0"/>
                <w:smallCaps w:val="0"/>
                <w:color w:val="000000"/>
                <w:kern w:val="0"/>
                <w:sz w:val="24"/>
              </w:rPr>
            </w:pPr>
            <w:r>
              <w:rPr>
                <w:rFonts w:hint="eastAsia" w:ascii="仿宋_GB2312" w:hAnsi="仿宋_GB2312" w:eastAsia="仿宋_GB2312" w:cs="仿宋_GB2312"/>
                <w:kern w:val="0"/>
                <w:sz w:val="27"/>
                <w:szCs w:val="27"/>
              </w:rPr>
              <w:t>巴彦淖尔市建设工程消防技术服务中心</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CC7D7E6">
            <w:pPr>
              <w:widowControl/>
              <w:jc w:val="left"/>
              <w:rPr>
                <w:rFonts w:ascii="仿宋_GB2312" w:hAnsi="仿宋_GB2312" w:eastAsia="仿宋_GB2312" w:cs="仿宋_GB2312"/>
                <w:b w:val="0"/>
                <w:bCs w:val="0"/>
                <w:i w:val="0"/>
                <w:iCs w:val="0"/>
                <w:smallCaps w:val="0"/>
                <w:color w:val="000000"/>
                <w:kern w:val="0"/>
                <w:sz w:val="24"/>
              </w:rPr>
            </w:pPr>
            <w:r>
              <w:rPr>
                <w:rFonts w:ascii="仿宋_GB2312" w:hAnsi="仿宋_GB2312" w:eastAsia="仿宋_GB2312" w:cs="仿宋_GB2312"/>
                <w:b w:val="0"/>
                <w:bCs w:val="0"/>
                <w:i w:val="0"/>
                <w:iCs w:val="0"/>
                <w:smallCaps w:val="0"/>
                <w:color w:val="000000"/>
                <w:kern w:val="0"/>
                <w:sz w:val="24"/>
              </w:rPr>
              <w:t>公益一类事业单位</w:t>
            </w:r>
          </w:p>
        </w:tc>
      </w:tr>
    </w:tbl>
    <w:p w14:paraId="6E070DFB">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38A4E59B">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一年来，全市住建系统攻坚克难、锐意进取，各项工作取得了新进展、新成效。</w:t>
      </w:r>
    </w:p>
    <w:p w14:paraId="5060EB2D">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党的建设和党风廉政建设全面加强。一是以党的政治建设为统领。坚定拥护“两个确立”、坚决做到“两个维护”，落实“第一议题”制度，严格落实全面从严治党主体责任，严格执行重大事项请示报告制度。二是加强党风廉政建设和反腐败工作。加强廉洁文化建设，常态化进行廉政谈话和廉洁提醒，强化监督执纪问责，认真抓好环保督察、审计整改等反馈问题整改工作。三是抓实宣传文化和意识形态工作。加强党的创新理论武装，自觉用习近平新时代中国特色社会主义思想武装头脑、指导实践、推动工作。严格落实意识形态工作责任制，加强对意识形态阵地的管理。四是驰而不息加强作风建设。持续抓好整治形式主义为基层减负，开展公文抄袭专项整治，进一步规范督检考，减轻基层负担。五是以党建促住建。行业高质量发展基础进一步夯实，行业法治建设不断健全，干部队伍结构进一步优化，工作活力有效激发。</w:t>
      </w:r>
    </w:p>
    <w:p w14:paraId="2106AED4">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重大项目建设稳步推进。一是开展“温暖工程”巩固提升行动。完成项目建设26个，供热保障能力进一步加强。二是开展城镇节水专项行动。实施完成10项供水工程，新改建供水管网78.38公里，整体节水效能持续提升。三是精准发力争取上级资金。全年累计争取中央和自治区级城建领域资金3.2亿元。</w:t>
      </w:r>
    </w:p>
    <w:p w14:paraId="6DFF1539">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房地产市场平稳发展。一是坚决打好“两保”“两难”攻坚战。全市86个“保交楼”项目、24670套，14个“保交房”项目、1936套，已全部完成销号；12个“两难”项目、2078套全部完成交付。二是推进“白名单”扩围增效。我市6个项目通过审核纳入“白名单”范围，获得授信4.68亿元、拨付资金4.28亿元，着力稳定房地产市场。</w:t>
      </w:r>
    </w:p>
    <w:p w14:paraId="39B0C23D">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住房保障体系不断健全。一是加大保障性安居工程建设力度。分配公租房26302套，发放城镇住房保障家庭租赁补贴1352户，实施城市危旧房改造100套。实施农村牧区危房改造586户。累计争取中央和自治区级保障性安居工程补助资金5.7亿元、农村牧区危房改造补助资金0.2亿元。二是发挥住房公积金支持保障作用。全年缴存29.98亿元，提取19.48亿元，发放贷款2.7亿元，公积金保障性作用进一步加强。</w:t>
      </w:r>
    </w:p>
    <w:p w14:paraId="3D415FCD">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建筑业转型升级步伐加快。一是推动建筑业强筋壮骨。17家企业资质提档晋级，全市完成建筑业总产值69.17亿元，同比增长9.3%。区外建筑业企业在市完成产值197.54亿元。二是优化建筑市场环境。持续开展房屋市政工程招标投标领域突出问题整治，排查246个建设工程项目，发现问题工程26个，已全部完成整改。三是全面排查房屋市政工程拖欠农牧民工工资隐患问题。累计排查94个项目，为500多名农牧民工追回薪资854万元。四是大力推进绿色建筑发展和绿色建材推广应用。开工绿色建筑50.72万平方米，竣工绿色建筑76.06万平方米，新建绿色建筑比例达到100%。</w:t>
      </w:r>
    </w:p>
    <w:p w14:paraId="67E8CFCC">
      <w:pPr>
        <w:pStyle w:val="30"/>
        <w:widowControl/>
        <w:spacing w:before="240" w:after="240" w:line="560" w:lineRule="atLeast"/>
        <w:ind w:firstLine="64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城乡高质量发展取得新成效。一是加强市政基础设施建设。实施40项市政基础设施建设工程，完成投资约6.18亿元。新改建供水、排水、供热、燃气四类地下管网271.6公里，打通断头路7条，新建口袋公园5个，改造老旧公园5个。二是持续推动城镇老旧小区改造。实施城镇老旧小区改造49个、1.44万户，更新住宅老旧电梯21部。三是着力提升物业管理服务水平。住宅小区物业管理覆盖率达到100%，业委会(物管会)组建率达到95.3%。推进物业服务履约不到位专项整治，共收集到群众投诉374条，全部整改完毕，累计追缴小区公共收益33.9万元。四是加强城乡人居环境整治。34个建制镇已建成污水处理设施，覆盖率85%。城镇生活垃圾实现日产日清，无害化处理率达到100%。持续开展建筑垃圾治理，清理存量建筑垃圾42万吨，实现百分百处置利用。五是持续推进停车场、充电桩建设。全市新增城镇停车泊位4839个，新增城市主城区公共充电桩104个。</w:t>
      </w:r>
    </w:p>
    <w:p w14:paraId="14929809">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安全稳定防线持续巩固。我们坚持通过常态化安全生产检查与集中抽查的方式，持续加强住建领域安全生产工作，在1月底的安全生产抽查中，共发现建筑施工、城镇燃气、小区物业、消防审验等方面安全生产问题隐患268条，已全部完成整改。一是积极开展建筑工地安全生产隐患排查整治。对全市104项在建工程开展安全生产日常巡查和动火作业、建筑外墙保温材料、高处坠落专项整治行动，共发现安全隐患514条，均完成整改。二是常态化开展城镇燃气安全隐患排查。累计检查燃气企业及用气场所1490家，立案6起、处罚9.1万元，查处黑气瓶50个，行政拘留2人，发现隐患问题218条，并已全部完成整改。三是专项开展住宅小区隐患排查整治。重点对电梯安全、房屋使用及装饰装修安全、共用设备安全以及外墙保温系统防护层破损脱落等方面进行排查，累计整治隐患2442个。四是完成建设工程质量安全监督机构执法委托工作。全市共有安全监督人员32人，取得执法证并完成施工安全监督人员考核24人，进一步增强对在建项目的监督执法能力。五是助力“包银高铁”全线贯通。顺利完成包银高铁巴彦淖尔段298个单体建筑的消防验收工作，助力包银高铁全线贯通运营。六是认真做好信访协调督办工作。收到各类信访案件286件，办结269件，办结率94%，有力保障了群众切身权益。</w:t>
      </w:r>
    </w:p>
    <w:p w14:paraId="4EDCEF8C">
      <w:pPr>
        <w:widowControl/>
        <w:spacing w:before="240" w:after="240"/>
        <w:jc w:val="left"/>
        <w:rPr>
          <w:rFonts w:ascii="Times New Roman" w:hAnsi="Times New Roman" w:eastAsia="Times New Roman" w:cs="Times New Roman"/>
          <w:kern w:val="0"/>
          <w:sz w:val="24"/>
        </w:rPr>
      </w:pPr>
    </w:p>
    <w:p w14:paraId="7796EE99">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14:paraId="3EA24ED2">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40F21100">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巴彦淖尔市住房和城乡建设局部门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12935.83</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6135.56</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90.23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shd w:val="clear" w:color="FFFFFF" w:fill="D9D9D9"/>
        </w:rPr>
        <w:t>变动原因：</w:t>
      </w:r>
      <w:r>
        <w:rPr>
          <w:rFonts w:ascii="FangSong_GB2312" w:hAnsi="FangSong_GB2312" w:eastAsia="FangSong_GB2312" w:cs="FangSong_GB2312"/>
          <w:kern w:val="0"/>
          <w:sz w:val="32"/>
          <w:szCs w:val="32"/>
          <w:shd w:val="clear" w:color="FFFFFF" w:fill="D9D9D9"/>
          <w:lang w:eastAsia="en-US"/>
        </w:rPr>
        <w:t>……</w:t>
      </w:r>
      <w:r>
        <w:rPr>
          <w:rFonts w:ascii="FangSong_GB2312" w:hAnsi="FangSong_GB2312" w:eastAsia="FangSong_GB2312" w:cs="FangSong_GB2312"/>
          <w:kern w:val="0"/>
          <w:sz w:val="32"/>
          <w:szCs w:val="32"/>
          <w:shd w:val="clear" w:color="FFFFFF" w:fill="D9D9D9"/>
        </w:rPr>
        <w:t>；</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60121.22</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82.29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233B1E74">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12935.83</w:t>
      </w:r>
      <w:r>
        <w:rPr>
          <w:rFonts w:ascii="楷体" w:hAnsi="楷体" w:eastAsia="楷体" w:cs="楷体"/>
          <w:b/>
          <w:bCs/>
          <w:kern w:val="0"/>
          <w:sz w:val="32"/>
          <w:szCs w:val="32"/>
        </w:rPr>
        <w:t>万元。包括：</w:t>
      </w:r>
    </w:p>
    <w:p w14:paraId="3BE57385">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11714.09</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60114.98</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83.69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2024年市财政</w:t>
      </w:r>
      <w:r>
        <w:rPr>
          <w:rFonts w:hint="eastAsia" w:ascii="FangSong_GB2312" w:hAnsi="FangSong_GB2312" w:eastAsia="FangSong_GB2312" w:cs="FangSong_GB2312"/>
          <w:kern w:val="0"/>
          <w:sz w:val="32"/>
          <w:szCs w:val="32"/>
          <w:lang w:val="en-US" w:eastAsia="zh-CN"/>
        </w:rPr>
        <w:t>为</w:t>
      </w:r>
      <w:r>
        <w:rPr>
          <w:rFonts w:hint="eastAsia" w:ascii="FangSong_GB2312" w:hAnsi="FangSong_GB2312" w:eastAsia="FangSong_GB2312" w:cs="FangSong_GB2312"/>
          <w:kern w:val="0"/>
          <w:sz w:val="32"/>
          <w:szCs w:val="32"/>
        </w:rPr>
        <w:t>我</w:t>
      </w:r>
      <w:r>
        <w:rPr>
          <w:rFonts w:hint="eastAsia" w:ascii="FangSong_GB2312" w:hAnsi="FangSong_GB2312" w:eastAsia="FangSong_GB2312" w:cs="FangSong_GB2312"/>
          <w:kern w:val="0"/>
          <w:sz w:val="32"/>
          <w:szCs w:val="32"/>
          <w:lang w:val="en-US" w:eastAsia="zh-CN"/>
        </w:rPr>
        <w:t>部门二级单位巴彦淖尔市城市新区发展中心</w:t>
      </w:r>
      <w:r>
        <w:rPr>
          <w:rFonts w:hint="eastAsia" w:ascii="FangSong_GB2312" w:hAnsi="FangSong_GB2312" w:eastAsia="FangSong_GB2312" w:cs="FangSong_GB2312"/>
          <w:kern w:val="0"/>
          <w:sz w:val="32"/>
          <w:szCs w:val="32"/>
        </w:rPr>
        <w:t>追加拨付支付万宇佳业诉讼案件涉及双河区工程款48308.75万元，支付泰诚、滨河建设投资有限责任公司双河区基础设施建设项目工程款10038.51万元，支付北京中医院内蒙古医院周边市政道路工程款6812.86万元</w:t>
      </w:r>
      <w:r>
        <w:rPr>
          <w:rFonts w:ascii="FangSong_GB2312" w:hAnsi="FangSong_GB2312" w:eastAsia="FangSong_GB2312" w:cs="FangSong_GB2312"/>
          <w:kern w:val="0"/>
          <w:sz w:val="32"/>
          <w:szCs w:val="32"/>
        </w:rPr>
        <w:t>。</w:t>
      </w:r>
    </w:p>
    <w:p w14:paraId="39B5A97E">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w:t>
      </w:r>
      <w:r>
        <w:rPr>
          <w:rFonts w:hint="eastAsia" w:ascii="FangSong_GB2312" w:hAnsi="FangSong_GB2312" w:eastAsia="FangSong_GB2312" w:cs="FangSong_GB2312"/>
          <w:kern w:val="0"/>
          <w:sz w:val="32"/>
          <w:szCs w:val="32"/>
          <w:lang w:val="en-US" w:eastAsia="zh-CN"/>
        </w:rPr>
        <w:t>原因：</w:t>
      </w:r>
      <w:r>
        <w:rPr>
          <w:rFonts w:ascii="FangSong_GB2312" w:hAnsi="FangSong_GB2312" w:eastAsia="FangSong_GB2312" w:cs="FangSong_GB2312"/>
          <w:kern w:val="0"/>
          <w:sz w:val="32"/>
          <w:szCs w:val="32"/>
        </w:rPr>
        <w:t>不存在此项内容。</w:t>
      </w:r>
    </w:p>
    <w:p w14:paraId="2788FDA2">
      <w:pPr>
        <w:widowControl/>
        <w:spacing w:before="240" w:after="240"/>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1221.75</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6.23</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0.51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 w:hAnsi="仿宋" w:eastAsia="仿宋" w:cs="仿宋"/>
          <w:spacing w:val="4"/>
          <w:sz w:val="31"/>
          <w:szCs w:val="31"/>
        </w:rPr>
        <w:t>项目工</w:t>
      </w:r>
      <w:r>
        <w:rPr>
          <w:rFonts w:ascii="仿宋" w:hAnsi="仿宋" w:eastAsia="仿宋" w:cs="仿宋"/>
          <w:spacing w:val="2"/>
          <w:sz w:val="31"/>
          <w:szCs w:val="31"/>
        </w:rPr>
        <w:t>程款</w:t>
      </w:r>
      <w:r>
        <w:rPr>
          <w:rFonts w:ascii="仿宋" w:hAnsi="仿宋" w:eastAsia="仿宋" w:cs="仿宋"/>
          <w:spacing w:val="-47"/>
          <w:sz w:val="31"/>
          <w:szCs w:val="31"/>
        </w:rPr>
        <w:t xml:space="preserve"> </w:t>
      </w:r>
      <w:r>
        <w:rPr>
          <w:rFonts w:ascii="仿宋" w:hAnsi="仿宋" w:eastAsia="仿宋" w:cs="仿宋"/>
          <w:spacing w:val="2"/>
          <w:sz w:val="31"/>
          <w:szCs w:val="31"/>
        </w:rPr>
        <w:t>202</w:t>
      </w:r>
      <w:r>
        <w:rPr>
          <w:rFonts w:hint="eastAsia" w:ascii="仿宋" w:hAnsi="仿宋" w:eastAsia="仿宋" w:cs="仿宋"/>
          <w:spacing w:val="2"/>
          <w:sz w:val="31"/>
          <w:szCs w:val="31"/>
          <w:lang w:val="en-US" w:eastAsia="zh-CN"/>
        </w:rPr>
        <w:t>5</w:t>
      </w:r>
      <w:r>
        <w:rPr>
          <w:rFonts w:ascii="仿宋" w:hAnsi="仿宋" w:eastAsia="仿宋" w:cs="仿宋"/>
          <w:spacing w:val="-47"/>
          <w:sz w:val="31"/>
          <w:szCs w:val="31"/>
        </w:rPr>
        <w:t xml:space="preserve"> </w:t>
      </w:r>
      <w:r>
        <w:rPr>
          <w:rFonts w:ascii="仿宋" w:hAnsi="仿宋" w:eastAsia="仿宋" w:cs="仿宋"/>
          <w:spacing w:val="2"/>
          <w:sz w:val="31"/>
          <w:szCs w:val="31"/>
        </w:rPr>
        <w:t>年较</w:t>
      </w:r>
      <w:r>
        <w:rPr>
          <w:rFonts w:ascii="仿宋" w:hAnsi="仿宋" w:eastAsia="仿宋" w:cs="仿宋"/>
          <w:spacing w:val="-58"/>
          <w:sz w:val="31"/>
          <w:szCs w:val="31"/>
        </w:rPr>
        <w:t xml:space="preserve"> </w:t>
      </w:r>
      <w:r>
        <w:rPr>
          <w:rFonts w:ascii="仿宋" w:hAnsi="仿宋" w:eastAsia="仿宋" w:cs="仿宋"/>
          <w:spacing w:val="2"/>
          <w:sz w:val="31"/>
          <w:szCs w:val="31"/>
        </w:rPr>
        <w:t>202</w:t>
      </w:r>
      <w:r>
        <w:rPr>
          <w:rFonts w:hint="eastAsia" w:ascii="仿宋" w:hAnsi="仿宋" w:eastAsia="仿宋" w:cs="仿宋"/>
          <w:spacing w:val="2"/>
          <w:sz w:val="31"/>
          <w:szCs w:val="31"/>
          <w:lang w:val="en-US" w:eastAsia="zh-CN"/>
        </w:rPr>
        <w:t>4</w:t>
      </w:r>
      <w:r>
        <w:rPr>
          <w:rFonts w:ascii="仿宋" w:hAnsi="仿宋" w:eastAsia="仿宋" w:cs="仿宋"/>
          <w:spacing w:val="2"/>
          <w:sz w:val="31"/>
          <w:szCs w:val="31"/>
        </w:rPr>
        <w:t>年年初结转结余减少</w:t>
      </w:r>
      <w:r>
        <w:rPr>
          <w:rFonts w:ascii="FangSong_GB2312" w:hAnsi="FangSong_GB2312" w:eastAsia="FangSong_GB2312" w:cs="FangSong_GB2312"/>
          <w:kern w:val="0"/>
          <w:sz w:val="32"/>
          <w:szCs w:val="32"/>
        </w:rPr>
        <w:t>。</w:t>
      </w:r>
    </w:p>
    <w:p w14:paraId="25A64A8F">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12935.83</w:t>
      </w:r>
      <w:r>
        <w:rPr>
          <w:rFonts w:ascii="楷体" w:hAnsi="楷体" w:eastAsia="楷体" w:cs="楷体"/>
          <w:b/>
          <w:bCs/>
          <w:kern w:val="0"/>
          <w:sz w:val="32"/>
          <w:szCs w:val="32"/>
        </w:rPr>
        <w:t>万元。包括：</w:t>
      </w:r>
    </w:p>
    <w:p w14:paraId="20BF4994">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12337.02</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59498.28</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82.83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2024年市财政为我部门二级单位巴彦淖尔市城市新区发展中心追加拨付支付万宇佳业诉讼案件涉及双河区工程款48308.75万元，支付泰诚、滨河建设投资有限责任公司双河区基础设施建设项目工程款10038.51万元，支付北京中医院内蒙古医院周边市政道路工程款6812.86万元</w:t>
      </w:r>
      <w:r>
        <w:rPr>
          <w:rFonts w:ascii="FangSong_GB2312" w:hAnsi="FangSong_GB2312" w:eastAsia="FangSong_GB2312" w:cs="FangSong_GB2312"/>
          <w:kern w:val="0"/>
          <w:sz w:val="32"/>
          <w:szCs w:val="32"/>
        </w:rPr>
        <w:t>。</w:t>
      </w:r>
    </w:p>
    <w:p w14:paraId="7EE1DC8B">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w:t>
      </w:r>
      <w:r>
        <w:rPr>
          <w:rFonts w:hint="eastAsia" w:ascii="FangSong_GB2312" w:hAnsi="FangSong_GB2312" w:eastAsia="FangSong_GB2312" w:cs="FangSong_GB2312"/>
          <w:kern w:val="0"/>
          <w:sz w:val="32"/>
          <w:szCs w:val="32"/>
          <w:lang w:val="en-US" w:eastAsia="zh-CN"/>
        </w:rPr>
        <w:t>原因：</w:t>
      </w:r>
      <w:r>
        <w:rPr>
          <w:rFonts w:ascii="FangSong_GB2312" w:hAnsi="FangSong_GB2312" w:eastAsia="FangSong_GB2312" w:cs="FangSong_GB2312"/>
          <w:kern w:val="0"/>
          <w:sz w:val="32"/>
          <w:szCs w:val="32"/>
        </w:rPr>
        <w:t>不存在此项内容。</w:t>
      </w:r>
    </w:p>
    <w:p w14:paraId="5391DC89">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598.81</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rPr>
        <w:t>项目工程款不具</w:t>
      </w:r>
      <w:r>
        <w:rPr>
          <w:rFonts w:hint="eastAsia" w:ascii="FangSong_GB2312" w:hAnsi="FangSong_GB2312" w:eastAsia="FangSong_GB2312" w:cs="FangSong_GB2312"/>
          <w:kern w:val="0"/>
          <w:sz w:val="32"/>
          <w:szCs w:val="32"/>
          <w:lang w:val="en-US" w:eastAsia="zh-CN"/>
        </w:rPr>
        <w:t>备</w:t>
      </w:r>
      <w:r>
        <w:rPr>
          <w:rFonts w:hint="eastAsia" w:ascii="FangSong_GB2312" w:hAnsi="FangSong_GB2312" w:eastAsia="FangSong_GB2312" w:cs="FangSong_GB2312"/>
          <w:kern w:val="0"/>
          <w:sz w:val="32"/>
          <w:szCs w:val="32"/>
        </w:rPr>
        <w:t>支付条件未支付</w:t>
      </w:r>
      <w:r>
        <w:rPr>
          <w:rFonts w:ascii="FangSong_GB2312" w:hAnsi="FangSong_GB2312" w:eastAsia="FangSong_GB2312" w:cs="FangSong_GB2312"/>
          <w:kern w:val="0"/>
          <w:sz w:val="32"/>
          <w:szCs w:val="32"/>
        </w:rPr>
        <w:t>。与上年决算相比，减少</w:t>
      </w:r>
      <w:r>
        <w:rPr>
          <w:rFonts w:eastAsia="Times New Roman"/>
          <w:kern w:val="0"/>
          <w:sz w:val="32"/>
          <w:szCs w:val="32"/>
          <w:u w:val="single"/>
        </w:rPr>
        <w:t>622.94</w:t>
      </w:r>
      <w:r>
        <w:rPr>
          <w:rFonts w:ascii="FangSong_GB2312" w:hAnsi="FangSong_GB2312" w:eastAsia="FangSong_GB2312" w:cs="FangSong_GB2312"/>
          <w:kern w:val="0"/>
          <w:sz w:val="32"/>
          <w:szCs w:val="32"/>
        </w:rPr>
        <w:t>万元，下降</w:t>
      </w:r>
      <w:r>
        <w:rPr>
          <w:rFonts w:eastAsia="Times New Roman"/>
          <w:kern w:val="0"/>
          <w:sz w:val="32"/>
          <w:szCs w:val="32"/>
          <w:u w:val="single"/>
        </w:rPr>
        <w:t>50.99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，变动原因：上年不具备支付条件的款项进行了支付。</w:t>
      </w:r>
    </w:p>
    <w:p w14:paraId="122D4384">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541E1CB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巴彦淖尔市住房和城乡建设局部门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11714.09</w:t>
      </w:r>
      <w:r>
        <w:rPr>
          <w:rFonts w:ascii="FangSong_GB2312" w:hAnsi="FangSong_GB2312" w:eastAsia="FangSong_GB2312" w:cs="FangSong_GB2312"/>
          <w:kern w:val="0"/>
          <w:sz w:val="32"/>
          <w:szCs w:val="32"/>
        </w:rPr>
        <w:t>万元，其中：</w:t>
      </w:r>
    </w:p>
    <w:p w14:paraId="2E335D22">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11230.03</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95.87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0FDA4C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484.06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4.13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51B12A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5D2EF4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9579373">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173369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FC884F5">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763CC6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D33FFB8">
      <w:pPr>
        <w:widowControl/>
        <w:spacing w:before="240" w:after="240"/>
        <w:rPr>
          <w:rFonts w:ascii="Times New Roman" w:hAnsi="Times New Roman" w:eastAsia="Times New Roman" w:cs="Times New Roman"/>
          <w:kern w:val="0"/>
          <w:sz w:val="24"/>
        </w:rPr>
      </w:pPr>
    </w:p>
    <w:p w14:paraId="6CEF014D">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770880" cy="3606800"/>
            <wp:effectExtent l="0" t="0" r="762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5770880" cy="360680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3DAD1BB6">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3BBC0829">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5464A1A2">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12337.02</w:t>
      </w:r>
      <w:r>
        <w:rPr>
          <w:rFonts w:ascii="FangSong_GB2312" w:hAnsi="FangSong_GB2312" w:eastAsia="FangSong_GB2312" w:cs="FangSong_GB2312"/>
          <w:kern w:val="0"/>
          <w:sz w:val="32"/>
          <w:szCs w:val="32"/>
        </w:rPr>
        <w:t>万元，其中：</w:t>
      </w:r>
    </w:p>
    <w:p w14:paraId="7B8D689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4043.45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32.77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8222B7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8293.57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67.23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4374C8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A1C5E4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5D10661">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77D40F3">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366385" cy="3354070"/>
            <wp:effectExtent l="0" t="0" r="5715" b="1778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7"/>
                    <a:stretch>
                      <a:fillRect/>
                    </a:stretch>
                  </pic:blipFill>
                  <pic:spPr>
                    <a:xfrm>
                      <a:off x="0" y="0"/>
                      <a:ext cx="5366385" cy="335407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26268C2C">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12B05440">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73805EB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12312.74</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5512.47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81.06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shd w:val="clear" w:color="auto" w:fill="auto"/>
        </w:rPr>
        <w:t>变动原因：</w:t>
      </w:r>
      <w:r>
        <w:rPr>
          <w:rFonts w:hint="eastAsia" w:ascii="FangSong_GB2312" w:hAnsi="FangSong_GB2312" w:eastAsia="FangSong_GB2312" w:cs="FangSong_GB2312"/>
          <w:kern w:val="0"/>
          <w:sz w:val="32"/>
          <w:szCs w:val="32"/>
          <w:shd w:val="clear" w:color="auto" w:fill="auto"/>
          <w:lang w:val="en-US" w:eastAsia="zh-CN"/>
        </w:rPr>
        <w:t>一是市财政追加双河区基础设施建设项目资金，二是为各单位追加的新入职人员经费，三是部分单位</w:t>
      </w:r>
      <w:r>
        <w:rPr>
          <w:rFonts w:hint="eastAsia" w:ascii="仿宋" w:hAnsi="仿宋" w:eastAsia="仿宋" w:cs="仿宋"/>
          <w:sz w:val="32"/>
          <w:szCs w:val="32"/>
          <w:highlight w:val="none"/>
          <w:lang w:val="en-US" w:eastAsia="zh-CN"/>
        </w:rPr>
        <w:t>进行了债务化解，财政拨入项目资金和政府性基金用于化解债务</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60121.22</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83.00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2024年市财政为我部门二级单位巴彦淖尔市城市新区发展中心追加拨付支付万宇佳业诉讼案件涉及双河区工程款48308.75万元，支付泰诚、滨河建设投资有限责任公司双河区基础设施建设项目工程款10038.51万元，支付北京中医院内蒙古医院周边市政道路工程款6812.86万元</w:t>
      </w:r>
      <w:r>
        <w:rPr>
          <w:rFonts w:ascii="FangSong_GB2312" w:hAnsi="FangSong_GB2312" w:eastAsia="FangSong_GB2312" w:cs="FangSong_GB2312"/>
          <w:kern w:val="0"/>
          <w:sz w:val="32"/>
          <w:szCs w:val="32"/>
        </w:rPr>
        <w:t>。</w:t>
      </w:r>
    </w:p>
    <w:p w14:paraId="2E3B75FD">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63267247">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11230.03</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6748.75</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166.40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3358A2E">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785E8E97">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502.16</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xml:space="preserve"> 12.82</w:t>
      </w:r>
      <w:r>
        <w:rPr>
          <w:rFonts w:ascii="FangSong_GB2312" w:hAnsi="FangSong_GB2312" w:eastAsia="FangSong_GB2312" w:cs="FangSong_GB2312"/>
          <w:kern w:val="0"/>
          <w:sz w:val="32"/>
          <w:szCs w:val="32"/>
        </w:rPr>
        <w:t>万元。其中：</w:t>
      </w:r>
    </w:p>
    <w:p w14:paraId="2D7C01FF">
      <w:pPr>
        <w:pStyle w:val="30"/>
        <w:widowControl/>
        <w:spacing w:before="240" w:after="240" w:line="560" w:lineRule="atLeast"/>
        <w:ind w:firstLine="640"/>
        <w:jc w:val="left"/>
        <w:rPr>
          <w:rFonts w:ascii="Times New Roman" w:hAnsi="Times New Roman" w:eastAsia="Times New Roman" w:cs="Times New Roman"/>
          <w:kern w:val="0"/>
          <w:sz w:val="24"/>
          <w:shd w:val="clear" w:color="FFFFFF" w:fill="D9D9D9"/>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政府办公厅（室）及相关机构事务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事业</w:t>
      </w:r>
      <w:r>
        <w:rPr>
          <w:rFonts w:ascii="FangSong_GB2312" w:hAnsi="FangSong_GB2312" w:eastAsia="FangSong_GB2312" w:cs="FangSong_GB2312"/>
          <w:kern w:val="0"/>
          <w:sz w:val="32"/>
          <w:szCs w:val="32"/>
        </w:rPr>
        <w:t>运行（项）。年初预算</w:t>
      </w:r>
      <w:r>
        <w:rPr>
          <w:rFonts w:hint="eastAsia" w:eastAsia="宋体"/>
          <w:kern w:val="0"/>
          <w:sz w:val="32"/>
          <w:szCs w:val="32"/>
          <w:u w:val="single"/>
          <w:lang w:val="en-US" w:eastAsia="zh-CN"/>
        </w:rPr>
        <w:t>489.35</w:t>
      </w:r>
      <w:r>
        <w:rPr>
          <w:rFonts w:ascii="FangSong_GB2312" w:hAnsi="FangSong_GB2312" w:eastAsia="FangSong_GB2312" w:cs="FangSong_GB2312"/>
          <w:kern w:val="0"/>
          <w:sz w:val="32"/>
          <w:szCs w:val="32"/>
        </w:rPr>
        <w:t>万元，支出决算</w:t>
      </w:r>
      <w:r>
        <w:rPr>
          <w:rFonts w:hint="eastAsia" w:eastAsia="Times New Roman"/>
          <w:kern w:val="0"/>
          <w:sz w:val="32"/>
          <w:szCs w:val="32"/>
          <w:u w:val="single"/>
          <w:lang w:val="en-US" w:eastAsia="zh-CN"/>
        </w:rPr>
        <w:t>502.16</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102.62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shd w:val="clear" w:color="auto" w:fill="auto"/>
        </w:rPr>
        <w:t>决算数与年初预算数的差异原因：</w:t>
      </w:r>
      <w:r>
        <w:rPr>
          <w:rFonts w:hint="eastAsia" w:ascii="FangSong_GB2312" w:hAnsi="FangSong_GB2312" w:eastAsia="FangSong_GB2312" w:cs="FangSong_GB2312"/>
          <w:kern w:val="0"/>
          <w:sz w:val="32"/>
          <w:szCs w:val="32"/>
          <w:shd w:val="clear" w:color="auto" w:fill="auto"/>
          <w:lang w:val="en-US" w:eastAsia="zh-CN"/>
        </w:rPr>
        <w:t>主要为住房公积金中心</w:t>
      </w:r>
      <w:r>
        <w:rPr>
          <w:rFonts w:hint="eastAsia" w:ascii="FangSong_GB2312" w:hAnsi="FangSong_GB2312" w:eastAsia="FangSong_GB2312" w:cs="FangSong_GB2312"/>
          <w:kern w:val="0"/>
          <w:sz w:val="32"/>
          <w:szCs w:val="32"/>
          <w:shd w:val="clear" w:color="auto" w:fill="auto"/>
          <w:lang w:eastAsia="en-US"/>
        </w:rPr>
        <w:t>本年新考录事业单位工作人员2名</w:t>
      </w:r>
      <w:r>
        <w:rPr>
          <w:rFonts w:hint="eastAsia" w:ascii="FangSong_GB2312" w:hAnsi="FangSong_GB2312" w:eastAsia="FangSong_GB2312" w:cs="FangSong_GB2312"/>
          <w:kern w:val="0"/>
          <w:sz w:val="32"/>
          <w:szCs w:val="32"/>
          <w:shd w:val="clear" w:color="auto" w:fill="auto"/>
          <w:lang w:val="en-US" w:eastAsia="zh-CN"/>
        </w:rPr>
        <w:t>和</w:t>
      </w:r>
      <w:r>
        <w:rPr>
          <w:rFonts w:hint="eastAsia" w:ascii="FangSong_GB2312" w:hAnsi="FangSong_GB2312" w:eastAsia="FangSong_GB2312" w:cs="FangSong_GB2312"/>
          <w:kern w:val="0"/>
          <w:sz w:val="32"/>
          <w:szCs w:val="32"/>
          <w:shd w:val="clear" w:color="auto" w:fill="auto"/>
          <w:lang w:eastAsia="en-US"/>
        </w:rPr>
        <w:t>在职人员调薪。</w:t>
      </w:r>
      <w:r>
        <w:rPr>
          <w:rFonts w:ascii="FangSong_GB2312" w:hAnsi="FangSong_GB2312" w:eastAsia="FangSong_GB2312" w:cs="FangSong_GB2312"/>
          <w:kern w:val="0"/>
          <w:sz w:val="32"/>
          <w:szCs w:val="32"/>
          <w:shd w:val="clear" w:color="auto" w:fill="auto"/>
        </w:rPr>
        <w:t>。</w:t>
      </w:r>
    </w:p>
    <w:p w14:paraId="53252B52">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（二）公共安全（类）</w:t>
      </w:r>
    </w:p>
    <w:p w14:paraId="27415268">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公共安全（类）决算数为</w:t>
      </w:r>
      <w:r>
        <w:rPr>
          <w:rFonts w:eastAsia="Times New Roman"/>
          <w:kern w:val="0"/>
          <w:sz w:val="32"/>
          <w:szCs w:val="32"/>
          <w:u w:val="single"/>
          <w:lang w:eastAsia="en-US"/>
        </w:rPr>
        <w:t> 0</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0</w:t>
      </w:r>
      <w:r>
        <w:rPr>
          <w:rFonts w:ascii="FangSong_GB2312" w:hAnsi="FangSong_GB2312" w:eastAsia="FangSong_GB2312" w:cs="FangSong_GB2312"/>
          <w:kern w:val="0"/>
          <w:sz w:val="32"/>
          <w:szCs w:val="32"/>
        </w:rPr>
        <w:t>万元。其中：</w:t>
      </w:r>
    </w:p>
    <w:p w14:paraId="567EDD0B">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．公安（款）行政运行（项）。年初预算</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不涉及该项内容</w:t>
      </w:r>
      <w:r>
        <w:rPr>
          <w:rFonts w:ascii="FangSong_GB2312" w:hAnsi="FangSong_GB2312" w:eastAsia="FangSong_GB2312" w:cs="FangSong_GB2312"/>
          <w:kern w:val="0"/>
          <w:sz w:val="32"/>
          <w:szCs w:val="32"/>
        </w:rPr>
        <w:t>。</w:t>
      </w:r>
    </w:p>
    <w:p w14:paraId="611D347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（三）社会保障和就业支出（类）</w:t>
      </w:r>
    </w:p>
    <w:p w14:paraId="4B636B97">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654.87</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75.21</w:t>
      </w:r>
      <w:r>
        <w:rPr>
          <w:rFonts w:ascii="FangSong_GB2312" w:hAnsi="FangSong_GB2312" w:eastAsia="FangSong_GB2312" w:cs="FangSong_GB2312"/>
          <w:kern w:val="0"/>
          <w:sz w:val="32"/>
          <w:szCs w:val="32"/>
        </w:rPr>
        <w:t>万元。其中：</w:t>
      </w:r>
    </w:p>
    <w:p w14:paraId="5F483E30">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．行政事业单位养老支出（款）行政单位离退休（项）。年初预算</w:t>
      </w:r>
      <w:r>
        <w:rPr>
          <w:rFonts w:hint="eastAsia" w:eastAsia="宋体"/>
          <w:kern w:val="0"/>
          <w:sz w:val="32"/>
          <w:szCs w:val="32"/>
          <w:u w:val="single"/>
          <w:lang w:val="en-US" w:eastAsia="zh-CN"/>
        </w:rPr>
        <w:t>120.45</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87.21</w:t>
      </w:r>
      <w:r>
        <w:rPr>
          <w:rFonts w:ascii="FangSong_GB2312" w:hAnsi="FangSong_GB2312" w:eastAsia="FangSong_GB2312" w:cs="FangSong_GB2312"/>
          <w:kern w:val="0"/>
          <w:sz w:val="32"/>
          <w:szCs w:val="32"/>
        </w:rPr>
        <w:t>万元，完成年初预算的</w:t>
      </w:r>
      <w:r>
        <w:rPr>
          <w:rFonts w:hint="eastAsia" w:eastAsia="Times New Roman"/>
          <w:kern w:val="0"/>
          <w:sz w:val="32"/>
          <w:szCs w:val="32"/>
          <w:u w:val="single"/>
          <w:lang w:eastAsia="en-US"/>
        </w:rPr>
        <w:t xml:space="preserve">72.40 </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仿宋" w:hAnsi="仿宋" w:eastAsia="仿宋" w:cs="仿宋"/>
          <w:sz w:val="32"/>
          <w:szCs w:val="32"/>
          <w:highlight w:val="none"/>
          <w:lang w:val="en-US" w:eastAsia="zh-CN"/>
        </w:rPr>
        <w:t>2025年4月开始取消离退休人员交通补和通讯补贴</w:t>
      </w:r>
      <w:r>
        <w:rPr>
          <w:rFonts w:ascii="FangSong_GB2312" w:hAnsi="FangSong_GB2312" w:eastAsia="FangSong_GB2312" w:cs="FangSong_GB2312"/>
          <w:kern w:val="0"/>
          <w:sz w:val="32"/>
          <w:szCs w:val="32"/>
        </w:rPr>
        <w:t>。</w:t>
      </w:r>
    </w:p>
    <w:p w14:paraId="377EA983">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．行政事业单位养老支出（款）事业单位离退休（项</w:t>
      </w:r>
      <w:r>
        <w:rPr>
          <w:rFonts w:ascii="FangSong_GB2312" w:hAnsi="FangSong_GB2312" w:eastAsia="FangSong_GB2312" w:cs="FangSong_GB2312"/>
          <w:kern w:val="0"/>
          <w:sz w:val="32"/>
          <w:szCs w:val="32"/>
          <w:shd w:val="clear" w:color="auto" w:fill="auto"/>
        </w:rPr>
        <w:t>）。年初预算</w:t>
      </w:r>
      <w:r>
        <w:rPr>
          <w:rFonts w:hint="eastAsia" w:eastAsia="宋体"/>
          <w:kern w:val="0"/>
          <w:sz w:val="32"/>
          <w:szCs w:val="32"/>
          <w:u w:val="single"/>
          <w:shd w:val="clear" w:color="auto" w:fill="auto"/>
          <w:lang w:val="en-US" w:eastAsia="zh-CN"/>
        </w:rPr>
        <w:t>151.30</w:t>
      </w:r>
      <w:r>
        <w:rPr>
          <w:rFonts w:ascii="FangSong_GB2312" w:hAnsi="FangSong_GB2312" w:eastAsia="FangSong_GB2312" w:cs="FangSong_GB2312"/>
          <w:kern w:val="0"/>
          <w:sz w:val="32"/>
          <w:szCs w:val="32"/>
          <w:shd w:val="clear" w:color="auto" w:fill="auto"/>
        </w:rPr>
        <w:t>万元，支出决算</w:t>
      </w:r>
      <w:r>
        <w:rPr>
          <w:rFonts w:hint="eastAsia" w:eastAsia="宋体"/>
          <w:kern w:val="0"/>
          <w:sz w:val="32"/>
          <w:szCs w:val="32"/>
          <w:u w:val="single"/>
          <w:shd w:val="clear" w:color="auto" w:fill="auto"/>
          <w:lang w:val="en-US" w:eastAsia="zh-CN"/>
        </w:rPr>
        <w:t>104.14</w:t>
      </w:r>
      <w:r>
        <w:rPr>
          <w:rFonts w:ascii="FangSong_GB2312" w:hAnsi="FangSong_GB2312" w:eastAsia="FangSong_GB2312" w:cs="FangSong_GB2312"/>
          <w:kern w:val="0"/>
          <w:sz w:val="32"/>
          <w:szCs w:val="32"/>
          <w:shd w:val="clear" w:color="auto" w:fill="auto"/>
        </w:rPr>
        <w:t>万元，完成年初预算的</w:t>
      </w:r>
      <w:r>
        <w:rPr>
          <w:rFonts w:hint="eastAsia" w:eastAsia="宋体"/>
          <w:kern w:val="0"/>
          <w:sz w:val="32"/>
          <w:szCs w:val="32"/>
          <w:u w:val="single"/>
          <w:shd w:val="clear" w:color="auto" w:fill="auto"/>
          <w:lang w:val="en-US" w:eastAsia="zh-CN"/>
        </w:rPr>
        <w:t>68.83</w:t>
      </w:r>
      <w:r>
        <w:rPr>
          <w:rFonts w:ascii="FangSong_GB2312" w:hAnsi="FangSong_GB2312" w:eastAsia="FangSong_GB2312" w:cs="FangSong_GB2312"/>
          <w:kern w:val="0"/>
          <w:sz w:val="32"/>
          <w:szCs w:val="32"/>
          <w:shd w:val="clear" w:color="auto" w:fill="auto"/>
          <w:lang w:eastAsia="en-US"/>
        </w:rPr>
        <w:t>%</w:t>
      </w:r>
      <w:r>
        <w:rPr>
          <w:rFonts w:ascii="FangSong_GB2312" w:hAnsi="FangSong_GB2312" w:eastAsia="FangSong_GB2312" w:cs="FangSong_GB2312"/>
          <w:kern w:val="0"/>
          <w:sz w:val="32"/>
          <w:szCs w:val="32"/>
          <w:shd w:val="clear" w:color="auto" w:fill="auto"/>
        </w:rPr>
        <w:t>。决算数与年初预算数的差异原因：</w:t>
      </w:r>
      <w:r>
        <w:rPr>
          <w:rFonts w:hint="eastAsia" w:ascii="FangSong_GB2312" w:hAnsi="FangSong_GB2312" w:eastAsia="FangSong_GB2312" w:cs="FangSong_GB2312"/>
          <w:kern w:val="0"/>
          <w:sz w:val="32"/>
          <w:szCs w:val="32"/>
          <w:shd w:val="clear" w:color="auto" w:fill="auto"/>
          <w:lang w:eastAsia="en-US"/>
        </w:rPr>
        <w:t>本年财政按规定收回退休人员项目外工资(离退休交通、通讯补贴）</w:t>
      </w:r>
      <w:r>
        <w:rPr>
          <w:rFonts w:ascii="FangSong_GB2312" w:hAnsi="FangSong_GB2312" w:eastAsia="FangSong_GB2312" w:cs="FangSong_GB2312"/>
          <w:kern w:val="0"/>
          <w:sz w:val="32"/>
          <w:szCs w:val="32"/>
          <w:shd w:val="clear" w:color="auto" w:fill="auto"/>
        </w:rPr>
        <w:t>。</w:t>
      </w:r>
    </w:p>
    <w:p w14:paraId="69F8CBAF">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rPr>
        <w:t>．行政事业单位养老支出（款）机关事业单位基本养老保险缴费支出（项）。年初预算</w:t>
      </w:r>
      <w:r>
        <w:rPr>
          <w:rFonts w:hint="eastAsia" w:eastAsia="宋体"/>
          <w:kern w:val="0"/>
          <w:sz w:val="32"/>
          <w:szCs w:val="32"/>
          <w:u w:val="single"/>
          <w:lang w:val="en-US" w:eastAsia="zh-CN"/>
        </w:rPr>
        <w:t>293.7</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321.43</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109.44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仿宋" w:hAnsi="仿宋" w:eastAsia="仿宋" w:cs="仿宋"/>
          <w:sz w:val="32"/>
          <w:szCs w:val="32"/>
          <w:highlight w:val="none"/>
          <w:lang w:val="en-US" w:eastAsia="zh-CN"/>
        </w:rPr>
        <w:t>养老保险调整基数，各单位追加预算</w:t>
      </w:r>
      <w:r>
        <w:rPr>
          <w:rFonts w:ascii="FangSong_GB2312" w:hAnsi="FangSong_GB2312" w:eastAsia="FangSong_GB2312" w:cs="FangSong_GB2312"/>
          <w:kern w:val="0"/>
          <w:sz w:val="32"/>
          <w:szCs w:val="32"/>
        </w:rPr>
        <w:t>。</w:t>
      </w:r>
    </w:p>
    <w:p w14:paraId="4B55A41E">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4</w:t>
      </w:r>
      <w:r>
        <w:rPr>
          <w:rFonts w:ascii="FangSong_GB2312" w:hAnsi="FangSong_GB2312" w:eastAsia="FangSong_GB2312" w:cs="FangSong_GB2312"/>
          <w:kern w:val="0"/>
          <w:sz w:val="32"/>
          <w:szCs w:val="32"/>
        </w:rPr>
        <w:t>．行政事业单位养老支出（款）机关事业单位职业年金缴费支出（项）。年初预算</w:t>
      </w:r>
      <w:r>
        <w:rPr>
          <w:rFonts w:hint="eastAsia" w:eastAsia="宋体"/>
          <w:kern w:val="0"/>
          <w:sz w:val="32"/>
          <w:szCs w:val="32"/>
          <w:u w:val="single"/>
          <w:lang w:val="en-US" w:eastAsia="zh-CN"/>
        </w:rPr>
        <w:t>0</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79.53</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我部门新增退休人员，职业年金进行做实缴费</w:t>
      </w:r>
      <w:r>
        <w:rPr>
          <w:rFonts w:ascii="FangSong_GB2312" w:hAnsi="FangSong_GB2312" w:eastAsia="FangSong_GB2312" w:cs="FangSong_GB2312"/>
          <w:kern w:val="0"/>
          <w:sz w:val="32"/>
          <w:szCs w:val="32"/>
        </w:rPr>
        <w:t>。</w:t>
      </w:r>
    </w:p>
    <w:p w14:paraId="278B4DA3">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抚恤（款）死亡抚恤（项）。年初预算</w:t>
      </w:r>
      <w:r>
        <w:rPr>
          <w:rFonts w:hint="eastAsia" w:ascii="FangSong_GB2312" w:hAnsi="FangSong_GB2312" w:eastAsia="FangSong_GB2312" w:cs="FangSong_GB2312"/>
          <w:kern w:val="0"/>
          <w:sz w:val="32"/>
          <w:szCs w:val="32"/>
          <w:lang w:val="en-US" w:eastAsia="zh-CN"/>
        </w:rPr>
        <w:t>0</w:t>
      </w:r>
      <w:r>
        <w:rPr>
          <w:rFonts w:hint="eastAsia" w:ascii="FangSong_GB2312" w:hAnsi="FangSong_GB2312" w:eastAsia="FangSong_GB2312" w:cs="FangSong_GB2312"/>
          <w:kern w:val="0"/>
          <w:sz w:val="32"/>
          <w:szCs w:val="32"/>
        </w:rPr>
        <w:t>万元，支出决算</w:t>
      </w:r>
      <w:r>
        <w:rPr>
          <w:rFonts w:hint="eastAsia" w:ascii="FangSong_GB2312" w:hAnsi="FangSong_GB2312" w:eastAsia="FangSong_GB2312" w:cs="FangSong_GB2312"/>
          <w:kern w:val="0"/>
          <w:sz w:val="32"/>
          <w:szCs w:val="32"/>
          <w:lang w:val="en-US" w:eastAsia="zh-CN"/>
        </w:rPr>
        <w:t>48.48</w:t>
      </w:r>
      <w:r>
        <w:rPr>
          <w:rFonts w:hint="eastAsia" w:ascii="FangSong_GB2312" w:hAnsi="FangSong_GB2312" w:eastAsia="FangSong_GB2312" w:cs="FangSong_GB2312"/>
          <w:kern w:val="0"/>
          <w:sz w:val="32"/>
          <w:szCs w:val="32"/>
        </w:rPr>
        <w:t>万元，完成年初预算的543.19%。决算数与年初预算数的差异原因：退休人员去世，追加发放死亡抚恤金</w:t>
      </w:r>
    </w:p>
    <w:p w14:paraId="4548C9C7">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（四）卫生健康支出（类）</w:t>
      </w:r>
    </w:p>
    <w:p w14:paraId="046819F5">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250.07</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18.67</w:t>
      </w:r>
      <w:r>
        <w:rPr>
          <w:rFonts w:ascii="FangSong_GB2312" w:hAnsi="FangSong_GB2312" w:eastAsia="FangSong_GB2312" w:cs="FangSong_GB2312"/>
          <w:kern w:val="0"/>
          <w:sz w:val="32"/>
          <w:szCs w:val="32"/>
        </w:rPr>
        <w:t>万元。其中：</w:t>
      </w:r>
    </w:p>
    <w:p w14:paraId="1D5053A0">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．行政事业单位医疗（款）行政单位医疗（项）。年初预算</w:t>
      </w:r>
      <w:r>
        <w:rPr>
          <w:rFonts w:hint="eastAsia" w:ascii="仿宋" w:hAnsi="仿宋" w:eastAsia="仿宋" w:cs="仿宋"/>
          <w:sz w:val="32"/>
          <w:szCs w:val="32"/>
          <w:highlight w:val="none"/>
          <w:u w:val="single"/>
          <w:lang w:val="en-US" w:eastAsia="zh-CN"/>
        </w:rPr>
        <w:t>24.79</w:t>
      </w:r>
      <w:r>
        <w:rPr>
          <w:rFonts w:ascii="FangSong_GB2312" w:hAnsi="FangSong_GB2312" w:eastAsia="FangSong_GB2312" w:cs="FangSong_GB2312"/>
          <w:kern w:val="0"/>
          <w:sz w:val="32"/>
          <w:szCs w:val="32"/>
        </w:rPr>
        <w:t>万元，支出决算</w:t>
      </w:r>
      <w:r>
        <w:rPr>
          <w:rFonts w:hint="eastAsia" w:ascii="仿宋" w:hAnsi="仿宋" w:eastAsia="仿宋" w:cs="仿宋"/>
          <w:sz w:val="32"/>
          <w:szCs w:val="32"/>
          <w:highlight w:val="none"/>
          <w:u w:val="single"/>
          <w:lang w:val="en-US" w:eastAsia="zh-CN"/>
        </w:rPr>
        <w:t>24.79</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无差异</w:t>
      </w:r>
      <w:r>
        <w:rPr>
          <w:rFonts w:ascii="FangSong_GB2312" w:hAnsi="FangSong_GB2312" w:eastAsia="FangSong_GB2312" w:cs="FangSong_GB2312"/>
          <w:kern w:val="0"/>
          <w:sz w:val="32"/>
          <w:szCs w:val="32"/>
        </w:rPr>
        <w:t>。</w:t>
      </w:r>
    </w:p>
    <w:p w14:paraId="47F68D57">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．行政事业单位医疗（款）事业单位医疗（项）。年初预算</w:t>
      </w:r>
      <w:r>
        <w:rPr>
          <w:rFonts w:hint="eastAsia" w:eastAsia="宋体"/>
          <w:kern w:val="0"/>
          <w:sz w:val="32"/>
          <w:szCs w:val="32"/>
          <w:u w:val="single"/>
          <w:lang w:val="en-US" w:eastAsia="zh-CN"/>
        </w:rPr>
        <w:t>128.34</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140.72</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109.65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各单位</w:t>
      </w:r>
      <w:r>
        <w:rPr>
          <w:rFonts w:hint="eastAsia" w:ascii="FangSong_GB2312" w:hAnsi="FangSong_GB2312" w:eastAsia="FangSong_GB2312" w:cs="FangSong_GB2312"/>
          <w:kern w:val="0"/>
          <w:sz w:val="32"/>
          <w:szCs w:val="32"/>
          <w:lang w:eastAsia="en-US"/>
        </w:rPr>
        <w:t>新增多名在职人员</w:t>
      </w:r>
      <w:r>
        <w:rPr>
          <w:rFonts w:ascii="FangSong_GB2312" w:hAnsi="FangSong_GB2312" w:eastAsia="FangSong_GB2312" w:cs="FangSong_GB2312"/>
          <w:kern w:val="0"/>
          <w:sz w:val="32"/>
          <w:szCs w:val="32"/>
        </w:rPr>
        <w:t>。</w:t>
      </w:r>
    </w:p>
    <w:p w14:paraId="200B7BBD">
      <w:pPr>
        <w:pStyle w:val="30"/>
        <w:widowControl/>
        <w:spacing w:before="240" w:after="240" w:line="560" w:lineRule="atLeast"/>
        <w:ind w:firstLine="640"/>
        <w:jc w:val="left"/>
        <w:rPr>
          <w:rFonts w:ascii="楷体" w:hAnsi="楷体" w:eastAsia="楷体" w:cs="楷体"/>
          <w:b/>
          <w:bCs/>
          <w:kern w:val="0"/>
          <w:sz w:val="32"/>
          <w:szCs w:val="32"/>
        </w:rPr>
      </w:pPr>
      <w:r>
        <w:rPr>
          <w:rFonts w:eastAsia="Times New Roman"/>
          <w:kern w:val="0"/>
          <w:sz w:val="32"/>
          <w:szCs w:val="32"/>
          <w:lang w:eastAsia="en-US"/>
        </w:rPr>
        <w:t>3</w:t>
      </w:r>
      <w:r>
        <w:rPr>
          <w:rFonts w:ascii="FangSong_GB2312" w:hAnsi="FangSong_GB2312" w:eastAsia="FangSong_GB2312" w:cs="FangSong_GB2312"/>
          <w:kern w:val="0"/>
          <w:sz w:val="32"/>
          <w:szCs w:val="32"/>
        </w:rPr>
        <w:t>．行政事业单位医疗（款）公务员医疗补助（项）。年初预算</w:t>
      </w:r>
      <w:r>
        <w:rPr>
          <w:rFonts w:hint="eastAsia" w:eastAsia="宋体"/>
          <w:kern w:val="0"/>
          <w:sz w:val="32"/>
          <w:szCs w:val="32"/>
          <w:u w:val="single"/>
          <w:lang w:val="en-US" w:eastAsia="zh-CN"/>
        </w:rPr>
        <w:t>77.11</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84.55</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109.65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医保调整基数</w:t>
      </w:r>
      <w:r>
        <w:rPr>
          <w:rFonts w:ascii="FangSong_GB2312" w:hAnsi="FangSong_GB2312" w:eastAsia="FangSong_GB2312" w:cs="FangSong_GB2312"/>
          <w:kern w:val="0"/>
          <w:sz w:val="32"/>
          <w:szCs w:val="32"/>
        </w:rPr>
        <w:t>。</w:t>
      </w:r>
    </w:p>
    <w:p w14:paraId="5BAD42D5">
      <w:pPr>
        <w:pStyle w:val="30"/>
        <w:widowControl/>
        <w:spacing w:before="240" w:after="240" w:line="560" w:lineRule="atLeast"/>
        <w:ind w:firstLine="643"/>
        <w:jc w:val="left"/>
        <w:rPr>
          <w:rFonts w:ascii="楷体" w:hAnsi="楷体" w:eastAsia="楷体" w:cs="楷体"/>
          <w:b/>
          <w:bCs/>
          <w:kern w:val="0"/>
          <w:sz w:val="32"/>
          <w:szCs w:val="32"/>
        </w:rPr>
      </w:pPr>
      <w:r>
        <w:rPr>
          <w:rFonts w:ascii="楷体" w:hAnsi="楷体" w:eastAsia="楷体" w:cs="楷体"/>
          <w:b/>
          <w:bCs/>
          <w:kern w:val="0"/>
          <w:sz w:val="32"/>
          <w:szCs w:val="32"/>
        </w:rPr>
        <w:t>（五）</w:t>
      </w:r>
      <w:r>
        <w:rPr>
          <w:rFonts w:hint="eastAsia" w:ascii="楷体" w:hAnsi="楷体" w:eastAsia="楷体" w:cs="楷体"/>
          <w:b/>
          <w:bCs/>
          <w:kern w:val="0"/>
          <w:sz w:val="32"/>
          <w:szCs w:val="32"/>
        </w:rPr>
        <w:t>城乡社区</w:t>
      </w:r>
      <w:r>
        <w:rPr>
          <w:rFonts w:ascii="楷体" w:hAnsi="楷体" w:eastAsia="楷体" w:cs="楷体"/>
          <w:b/>
          <w:bCs/>
          <w:kern w:val="0"/>
          <w:sz w:val="32"/>
          <w:szCs w:val="32"/>
        </w:rPr>
        <w:t>支出（类）</w:t>
      </w:r>
    </w:p>
    <w:p w14:paraId="3A899916">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城乡社区支出类决算数为</w:t>
      </w:r>
      <w:r>
        <w:rPr>
          <w:rFonts w:hint="eastAsia" w:eastAsia="宋体"/>
          <w:kern w:val="0"/>
          <w:sz w:val="32"/>
          <w:szCs w:val="32"/>
          <w:u w:val="single"/>
          <w:lang w:val="en-US" w:eastAsia="zh-CN"/>
        </w:rPr>
        <w:t>9397.67</w:t>
      </w:r>
      <w:r>
        <w:rPr>
          <w:rFonts w:hint="eastAsia" w:ascii="FangSong_GB2312" w:hAnsi="FangSong_GB2312" w:eastAsia="FangSong_GB2312" w:cs="FangSong_GB2312"/>
          <w:kern w:val="0"/>
          <w:sz w:val="32"/>
          <w:szCs w:val="32"/>
          <w:lang w:val="en-US" w:eastAsia="zh-CN"/>
        </w:rPr>
        <w:t>万元，与年初预算相比增加</w:t>
      </w:r>
      <w:r>
        <w:rPr>
          <w:rFonts w:hint="eastAsia" w:eastAsia="宋体"/>
          <w:kern w:val="0"/>
          <w:sz w:val="32"/>
          <w:szCs w:val="32"/>
          <w:u w:val="single"/>
          <w:lang w:val="en-US" w:eastAsia="zh-CN"/>
        </w:rPr>
        <w:t>7029.71</w:t>
      </w:r>
      <w:r>
        <w:rPr>
          <w:rFonts w:hint="eastAsia" w:ascii="FangSong_GB2312" w:hAnsi="FangSong_GB2312" w:eastAsia="FangSong_GB2312" w:cs="FangSong_GB2312"/>
          <w:kern w:val="0"/>
          <w:sz w:val="32"/>
          <w:szCs w:val="32"/>
          <w:lang w:val="en-US" w:eastAsia="zh-CN"/>
        </w:rPr>
        <w:t>万元。其中：</w:t>
      </w:r>
    </w:p>
    <w:p w14:paraId="419109C0">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1．城乡社区管理事务（款）行政运行（项）。年初预算</w:t>
      </w:r>
      <w:r>
        <w:rPr>
          <w:rFonts w:hint="eastAsia"/>
          <w:kern w:val="0"/>
          <w:sz w:val="32"/>
          <w:szCs w:val="32"/>
          <w:u w:val="single"/>
          <w:lang w:val="en-US" w:eastAsia="zh-CN"/>
        </w:rPr>
        <w:t>439.97</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462.42</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105.1</w:t>
      </w:r>
      <w:r>
        <w:rPr>
          <w:rFonts w:hint="eastAsia" w:ascii="FangSong_GB2312" w:hAnsi="FangSong_GB2312" w:eastAsia="FangSong_GB2312" w:cs="FangSong_GB2312"/>
          <w:kern w:val="0"/>
          <w:sz w:val="32"/>
          <w:szCs w:val="32"/>
          <w:lang w:val="en-US" w:eastAsia="zh-CN"/>
        </w:rPr>
        <w:t>%。决算数与年初预算数的差异原因：人员增加，支出增多。</w:t>
      </w:r>
    </w:p>
    <w:p w14:paraId="5A5D3D6F">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2．城乡社区管理事务（款）机关服务（项）。年初预算</w:t>
      </w:r>
      <w:r>
        <w:rPr>
          <w:rFonts w:hint="eastAsia"/>
          <w:kern w:val="0"/>
          <w:sz w:val="32"/>
          <w:szCs w:val="32"/>
          <w:u w:val="single"/>
          <w:lang w:val="en-US" w:eastAsia="zh-CN"/>
        </w:rPr>
        <w:t>625.37</w:t>
      </w:r>
      <w:r>
        <w:rPr>
          <w:rFonts w:hint="eastAsia" w:ascii="FangSong_GB2312" w:hAnsi="FangSong_GB2312" w:eastAsia="FangSong_GB2312" w:cs="FangSong_GB2312"/>
          <w:kern w:val="0"/>
          <w:sz w:val="32"/>
          <w:szCs w:val="32"/>
          <w:lang w:val="en-US" w:eastAsia="zh-CN"/>
        </w:rPr>
        <w:t>万元， 支出决算</w:t>
      </w:r>
      <w:r>
        <w:rPr>
          <w:rFonts w:hint="eastAsia"/>
          <w:kern w:val="0"/>
          <w:sz w:val="32"/>
          <w:szCs w:val="32"/>
          <w:u w:val="single"/>
          <w:lang w:val="en-US" w:eastAsia="zh-CN"/>
        </w:rPr>
        <w:t>666.37</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118.66%</w:t>
      </w:r>
      <w:r>
        <w:rPr>
          <w:rFonts w:hint="eastAsia" w:ascii="FangSong_GB2312" w:hAnsi="FangSong_GB2312" w:eastAsia="FangSong_GB2312" w:cs="FangSong_GB2312"/>
          <w:kern w:val="0"/>
          <w:sz w:val="32"/>
          <w:szCs w:val="32"/>
          <w:lang w:val="en-US" w:eastAsia="zh-CN"/>
        </w:rPr>
        <w:t>。决算数与年初预算数的差异原因：工作量加大，相关业务支出增加。</w:t>
      </w:r>
    </w:p>
    <w:p w14:paraId="35864A2B">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3．城乡社区管理事务（款）工程建设管理（项）。年初预算</w:t>
      </w:r>
      <w:r>
        <w:rPr>
          <w:rFonts w:hint="eastAsia"/>
          <w:kern w:val="0"/>
          <w:sz w:val="32"/>
          <w:szCs w:val="32"/>
          <w:u w:val="single"/>
          <w:lang w:val="en-US" w:eastAsia="zh-CN"/>
        </w:rPr>
        <w:t>675.04</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690.12</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102.23%</w:t>
      </w:r>
      <w:r>
        <w:rPr>
          <w:rFonts w:hint="eastAsia" w:ascii="FangSong_GB2312" w:hAnsi="FangSong_GB2312" w:eastAsia="FangSong_GB2312" w:cs="FangSong_GB2312"/>
          <w:kern w:val="0"/>
          <w:sz w:val="32"/>
          <w:szCs w:val="32"/>
          <w:lang w:val="en-US" w:eastAsia="zh-CN"/>
        </w:rPr>
        <w:t>。决算数与年初预算数的差异原因：化解地方政府债务。</w:t>
      </w:r>
    </w:p>
    <w:p w14:paraId="335ABE09">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4．城乡社区管理事务（款）市政公用行业市场监管（项）。年初预算</w:t>
      </w:r>
      <w:r>
        <w:rPr>
          <w:rFonts w:hint="eastAsia"/>
          <w:kern w:val="0"/>
          <w:sz w:val="32"/>
          <w:szCs w:val="32"/>
          <w:u w:val="single"/>
          <w:lang w:val="en-US" w:eastAsia="zh-CN"/>
        </w:rPr>
        <w:t>178.78</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183.82</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102.82%</w:t>
      </w:r>
      <w:r>
        <w:rPr>
          <w:rFonts w:hint="eastAsia" w:ascii="FangSong_GB2312" w:hAnsi="FangSong_GB2312" w:eastAsia="FangSong_GB2312" w:cs="FangSong_GB2312"/>
          <w:kern w:val="0"/>
          <w:sz w:val="32"/>
          <w:szCs w:val="32"/>
          <w:lang w:val="en-US" w:eastAsia="zh-CN"/>
        </w:rPr>
        <w:t>。决算数与年初预算数的差异原因：工作量增加支出增加。</w:t>
      </w:r>
    </w:p>
    <w:p w14:paraId="55CD9A83">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6.城乡社区公共设施（款）其他城乡社区公共设施支出（项）。年初预算</w:t>
      </w:r>
      <w:r>
        <w:rPr>
          <w:rFonts w:hint="eastAsia"/>
          <w:kern w:val="0"/>
          <w:sz w:val="32"/>
          <w:szCs w:val="32"/>
          <w:u w:val="single"/>
          <w:lang w:val="en-US" w:eastAsia="zh-CN"/>
        </w:rPr>
        <w:t>346.47</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7286.85</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2103.17%</w:t>
      </w:r>
      <w:r>
        <w:rPr>
          <w:rFonts w:hint="eastAsia"/>
          <w:kern w:val="0"/>
          <w:sz w:val="32"/>
          <w:szCs w:val="32"/>
          <w:u w:val="none"/>
          <w:lang w:val="en-US" w:eastAsia="zh-CN"/>
        </w:rPr>
        <w:t>。</w:t>
      </w:r>
      <w:r>
        <w:rPr>
          <w:rFonts w:hint="eastAsia" w:ascii="FangSong_GB2312" w:hAnsi="FangSong_GB2312" w:eastAsia="FangSong_GB2312" w:cs="FangSong_GB2312"/>
          <w:kern w:val="0"/>
          <w:sz w:val="32"/>
          <w:szCs w:val="32"/>
          <w:u w:val="none"/>
          <w:lang w:val="en-US" w:eastAsia="zh-CN"/>
        </w:rPr>
        <w:t>决</w:t>
      </w:r>
      <w:r>
        <w:rPr>
          <w:rFonts w:hint="eastAsia" w:ascii="FangSong_GB2312" w:hAnsi="FangSong_GB2312" w:eastAsia="FangSong_GB2312" w:cs="FangSong_GB2312"/>
          <w:kern w:val="0"/>
          <w:sz w:val="32"/>
          <w:szCs w:val="32"/>
          <w:lang w:val="en-US" w:eastAsia="zh-CN"/>
        </w:rPr>
        <w:t>算数与年初预算数的差异原因：化解地方政府债务。</w:t>
      </w:r>
    </w:p>
    <w:p w14:paraId="42CF0620">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7．建设市场管理与监督（款）建设市场管理与监督（项）。年初预算</w:t>
      </w:r>
      <w:r>
        <w:rPr>
          <w:rFonts w:hint="eastAsia"/>
          <w:kern w:val="0"/>
          <w:sz w:val="32"/>
          <w:szCs w:val="32"/>
          <w:u w:val="single"/>
          <w:lang w:val="en-US" w:eastAsia="zh-CN"/>
        </w:rPr>
        <w:t>90.34</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98.53</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109.06%</w:t>
      </w:r>
      <w:r>
        <w:rPr>
          <w:rFonts w:hint="eastAsia" w:ascii="FangSong_GB2312" w:hAnsi="FangSong_GB2312" w:eastAsia="FangSong_GB2312" w:cs="FangSong_GB2312"/>
          <w:kern w:val="0"/>
          <w:sz w:val="32"/>
          <w:szCs w:val="32"/>
          <w:lang w:val="en-US" w:eastAsia="zh-CN"/>
        </w:rPr>
        <w:t>。决算数与年初预算数的差异原因：工作量增加支出增加。</w:t>
      </w:r>
    </w:p>
    <w:p w14:paraId="7649998D">
      <w:pPr>
        <w:pStyle w:val="30"/>
        <w:widowControl/>
        <w:spacing w:before="240" w:after="240" w:line="560" w:lineRule="atLeast"/>
        <w:ind w:firstLine="640"/>
        <w:jc w:val="left"/>
        <w:rPr>
          <w:rFonts w:hint="eastAsia" w:ascii="FangSong_GB2312" w:hAnsi="FangSong_GB2312" w:eastAsia="FangSong_GB2312" w:cs="FangSong_GB2312"/>
          <w:kern w:val="0"/>
          <w:sz w:val="32"/>
          <w:szCs w:val="32"/>
          <w:lang w:val="en-US" w:eastAsia="zh-CN"/>
        </w:rPr>
      </w:pPr>
      <w:r>
        <w:rPr>
          <w:rFonts w:hint="eastAsia" w:ascii="FangSong_GB2312" w:hAnsi="FangSong_GB2312" w:eastAsia="FangSong_GB2312" w:cs="FangSong_GB2312"/>
          <w:kern w:val="0"/>
          <w:sz w:val="32"/>
          <w:szCs w:val="32"/>
          <w:lang w:val="en-US" w:eastAsia="zh-CN"/>
        </w:rPr>
        <w:t>7．其他城乡社区支出（款）其他城乡社区支出（项）。年初预算</w:t>
      </w:r>
      <w:r>
        <w:rPr>
          <w:rFonts w:hint="eastAsia"/>
          <w:kern w:val="0"/>
          <w:sz w:val="32"/>
          <w:szCs w:val="32"/>
          <w:u w:val="single"/>
          <w:lang w:val="en-US" w:eastAsia="zh-CN"/>
        </w:rPr>
        <w:t>10</w:t>
      </w:r>
      <w:r>
        <w:rPr>
          <w:rFonts w:hint="eastAsia" w:ascii="FangSong_GB2312" w:hAnsi="FangSong_GB2312" w:eastAsia="FangSong_GB2312" w:cs="FangSong_GB2312"/>
          <w:kern w:val="0"/>
          <w:sz w:val="32"/>
          <w:szCs w:val="32"/>
          <w:lang w:val="en-US" w:eastAsia="zh-CN"/>
        </w:rPr>
        <w:t>万元，支出决算</w:t>
      </w:r>
      <w:r>
        <w:rPr>
          <w:rFonts w:hint="eastAsia"/>
          <w:kern w:val="0"/>
          <w:sz w:val="32"/>
          <w:szCs w:val="32"/>
          <w:u w:val="single"/>
          <w:lang w:val="en-US" w:eastAsia="zh-CN"/>
        </w:rPr>
        <w:t>9.56</w:t>
      </w:r>
      <w:r>
        <w:rPr>
          <w:rFonts w:hint="eastAsia" w:ascii="FangSong_GB2312" w:hAnsi="FangSong_GB2312" w:eastAsia="FangSong_GB2312" w:cs="FangSong_GB2312"/>
          <w:kern w:val="0"/>
          <w:sz w:val="32"/>
          <w:szCs w:val="32"/>
          <w:lang w:val="en-US" w:eastAsia="zh-CN"/>
        </w:rPr>
        <w:t>万元，完成年初预算的</w:t>
      </w:r>
      <w:r>
        <w:rPr>
          <w:rFonts w:hint="eastAsia"/>
          <w:kern w:val="0"/>
          <w:sz w:val="32"/>
          <w:szCs w:val="32"/>
          <w:u w:val="single"/>
          <w:lang w:val="en-US" w:eastAsia="zh-CN"/>
        </w:rPr>
        <w:t>95.6%</w:t>
      </w:r>
      <w:r>
        <w:rPr>
          <w:rFonts w:hint="eastAsia" w:ascii="FangSong_GB2312" w:hAnsi="FangSong_GB2312" w:eastAsia="FangSong_GB2312" w:cs="FangSong_GB2312"/>
          <w:kern w:val="0"/>
          <w:sz w:val="32"/>
          <w:szCs w:val="32"/>
          <w:lang w:val="en-US" w:eastAsia="zh-CN"/>
        </w:rPr>
        <w:t>。</w:t>
      </w:r>
      <w:r>
        <w:rPr>
          <w:rFonts w:hint="eastAsia" w:ascii="FangSong_GB2312" w:hAnsi="FangSong_GB2312" w:eastAsia="FangSong_GB2312" w:cs="FangSong_GB2312"/>
          <w:kern w:val="0"/>
          <w:sz w:val="32"/>
          <w:szCs w:val="32"/>
          <w:shd w:val="clear" w:color="auto" w:fill="auto"/>
          <w:lang w:val="en-US" w:eastAsia="zh-CN"/>
        </w:rPr>
        <w:t>决算数与年初预算数的差异原因：该项支出差异全部为市房屋产权交易中心结余，结余原因为本年单位无公务接待，造成公务接待费结余；交通费用结余；培训费结余。</w:t>
      </w:r>
    </w:p>
    <w:p w14:paraId="709D014F">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六</w:t>
      </w:r>
      <w:r>
        <w:rPr>
          <w:rFonts w:ascii="楷体" w:hAnsi="楷体" w:eastAsia="楷体" w:cs="楷体"/>
          <w:b/>
          <w:bCs/>
          <w:kern w:val="0"/>
          <w:sz w:val="32"/>
          <w:szCs w:val="32"/>
        </w:rPr>
        <w:t>）住房保障支出（类）</w:t>
      </w:r>
    </w:p>
    <w:p w14:paraId="1DB94E0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1048.19</w:t>
      </w:r>
      <w:r>
        <w:rPr>
          <w:rFonts w:ascii="FangSong_GB2312" w:hAnsi="FangSong_GB2312" w:eastAsia="FangSong_GB2312" w:cs="FangSong_GB2312"/>
          <w:kern w:val="0"/>
          <w:sz w:val="32"/>
          <w:szCs w:val="32"/>
        </w:rPr>
        <w:t>万元，与年初预算相比增加（减少）</w:t>
      </w:r>
      <w:r>
        <w:rPr>
          <w:rFonts w:eastAsia="Times New Roman"/>
          <w:kern w:val="0"/>
          <w:sz w:val="32"/>
          <w:szCs w:val="32"/>
          <w:u w:val="single"/>
          <w:lang w:eastAsia="en-US"/>
        </w:rPr>
        <w:t> 17.68</w:t>
      </w:r>
      <w:r>
        <w:rPr>
          <w:rFonts w:ascii="FangSong_GB2312" w:hAnsi="FangSong_GB2312" w:eastAsia="FangSong_GB2312" w:cs="FangSong_GB2312"/>
          <w:kern w:val="0"/>
          <w:sz w:val="32"/>
          <w:szCs w:val="32"/>
        </w:rPr>
        <w:t>万元。其中：</w:t>
      </w:r>
    </w:p>
    <w:p w14:paraId="3D6E159A">
      <w:pPr>
        <w:pStyle w:val="30"/>
        <w:widowControl/>
        <w:numPr>
          <w:ilvl w:val="0"/>
          <w:numId w:val="2"/>
        </w:numPr>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住房改革支出（款）住房公积金（项）。年初预算</w:t>
      </w:r>
      <w:r>
        <w:rPr>
          <w:rFonts w:hint="eastAsia" w:eastAsia="宋体"/>
          <w:kern w:val="0"/>
          <w:sz w:val="32"/>
          <w:szCs w:val="32"/>
          <w:u w:val="single"/>
          <w:lang w:val="en-US" w:eastAsia="zh-CN"/>
        </w:rPr>
        <w:t>293.58</w:t>
      </w:r>
      <w:r>
        <w:rPr>
          <w:rFonts w:ascii="FangSong_GB2312" w:hAnsi="FangSong_GB2312" w:eastAsia="FangSong_GB2312" w:cs="FangSong_GB2312"/>
          <w:kern w:val="0"/>
          <w:sz w:val="32"/>
          <w:szCs w:val="32"/>
        </w:rPr>
        <w:t>万元，支出决算</w:t>
      </w:r>
      <w:r>
        <w:rPr>
          <w:rFonts w:hint="eastAsia" w:eastAsia="宋体"/>
          <w:kern w:val="0"/>
          <w:sz w:val="32"/>
          <w:szCs w:val="32"/>
          <w:u w:val="single"/>
          <w:lang w:val="en-US" w:eastAsia="zh-CN"/>
        </w:rPr>
        <w:t>311.28</w:t>
      </w:r>
      <w:r>
        <w:rPr>
          <w:rFonts w:ascii="FangSong_GB2312" w:hAnsi="FangSong_GB2312" w:eastAsia="FangSong_GB2312" w:cs="FangSong_GB2312"/>
          <w:kern w:val="0"/>
          <w:sz w:val="32"/>
          <w:szCs w:val="32"/>
        </w:rPr>
        <w:t>万元，完成年初预算的</w:t>
      </w:r>
      <w:r>
        <w:rPr>
          <w:rFonts w:hint="eastAsia" w:eastAsia="宋体"/>
          <w:kern w:val="0"/>
          <w:sz w:val="32"/>
          <w:szCs w:val="32"/>
          <w:u w:val="single"/>
          <w:lang w:val="en-US" w:eastAsia="zh-CN"/>
        </w:rPr>
        <w:t>106.03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各单位</w:t>
      </w:r>
      <w:r>
        <w:rPr>
          <w:rFonts w:hint="eastAsia" w:ascii="FangSong_GB2312" w:hAnsi="FangSong_GB2312" w:eastAsia="FangSong_GB2312" w:cs="FangSong_GB2312"/>
          <w:kern w:val="0"/>
          <w:sz w:val="32"/>
          <w:szCs w:val="32"/>
          <w:lang w:eastAsia="en-US"/>
        </w:rPr>
        <w:t>新增在职人员</w:t>
      </w:r>
      <w:r>
        <w:rPr>
          <w:rFonts w:hint="eastAsia" w:ascii="FangSong_GB2312" w:hAnsi="FangSong_GB2312" w:eastAsia="FangSong_GB2312" w:cs="FangSong_GB2312"/>
          <w:kern w:val="0"/>
          <w:sz w:val="32"/>
          <w:szCs w:val="32"/>
          <w:lang w:val="en-US" w:eastAsia="zh-CN"/>
        </w:rPr>
        <w:t>数名，且调整基数</w:t>
      </w:r>
      <w:r>
        <w:rPr>
          <w:rFonts w:ascii="FangSong_GB2312" w:hAnsi="FangSong_GB2312" w:eastAsia="FangSong_GB2312" w:cs="FangSong_GB2312"/>
          <w:kern w:val="0"/>
          <w:sz w:val="32"/>
          <w:szCs w:val="32"/>
        </w:rPr>
        <w:t>。</w:t>
      </w:r>
    </w:p>
    <w:p w14:paraId="519BD410">
      <w:pPr>
        <w:pStyle w:val="30"/>
        <w:widowControl/>
        <w:numPr>
          <w:ilvl w:val="0"/>
          <w:numId w:val="2"/>
        </w:numPr>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城乡社区住宅（款）住房公积金管理（项）。年初预算</w:t>
      </w:r>
      <w:r>
        <w:rPr>
          <w:rFonts w:hint="eastAsia" w:ascii="FangSong_GB2312" w:hAnsi="FangSong_GB2312" w:eastAsia="FangSong_GB2312" w:cs="FangSong_GB2312"/>
          <w:kern w:val="0"/>
          <w:sz w:val="32"/>
          <w:szCs w:val="32"/>
          <w:lang w:val="en-US" w:eastAsia="zh-CN"/>
        </w:rPr>
        <w:t>737</w:t>
      </w:r>
      <w:r>
        <w:rPr>
          <w:rFonts w:hint="eastAsia" w:ascii="FangSong_GB2312" w:hAnsi="FangSong_GB2312" w:eastAsia="FangSong_GB2312" w:cs="FangSong_GB2312"/>
          <w:kern w:val="0"/>
          <w:sz w:val="32"/>
          <w:szCs w:val="32"/>
        </w:rPr>
        <w:t>万元，支出决算</w:t>
      </w:r>
      <w:r>
        <w:rPr>
          <w:rFonts w:hint="eastAsia" w:ascii="FangSong_GB2312" w:hAnsi="FangSong_GB2312" w:eastAsia="FangSong_GB2312" w:cs="FangSong_GB2312"/>
          <w:kern w:val="0"/>
          <w:sz w:val="32"/>
          <w:szCs w:val="32"/>
          <w:lang w:val="en-US" w:eastAsia="zh-CN"/>
        </w:rPr>
        <w:t>736.91</w:t>
      </w:r>
      <w:r>
        <w:rPr>
          <w:rFonts w:hint="eastAsia" w:ascii="FangSong_GB2312" w:hAnsi="FangSong_GB2312" w:eastAsia="FangSong_GB2312" w:cs="FangSong_GB2312"/>
          <w:kern w:val="0"/>
          <w:sz w:val="32"/>
          <w:szCs w:val="32"/>
        </w:rPr>
        <w:t>万元，完成年初预算的</w:t>
      </w:r>
      <w:r>
        <w:rPr>
          <w:rFonts w:hint="eastAsia" w:ascii="FangSong_GB2312" w:hAnsi="FangSong_GB2312" w:eastAsia="FangSong_GB2312" w:cs="FangSong_GB2312"/>
          <w:kern w:val="0"/>
          <w:sz w:val="32"/>
          <w:szCs w:val="32"/>
          <w:lang w:val="en-US" w:eastAsia="zh-CN"/>
        </w:rPr>
        <w:t>99.99</w:t>
      </w:r>
      <w:r>
        <w:rPr>
          <w:rFonts w:hint="eastAsia"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基本无差异。</w:t>
      </w:r>
    </w:p>
    <w:p w14:paraId="5986D908">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69422CA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4042.25</w:t>
      </w:r>
      <w:r>
        <w:rPr>
          <w:rFonts w:ascii="FangSong_GB2312" w:hAnsi="FangSong_GB2312" w:eastAsia="FangSong_GB2312" w:cs="FangSong_GB2312"/>
          <w:kern w:val="0"/>
          <w:sz w:val="32"/>
          <w:szCs w:val="32"/>
        </w:rPr>
        <w:t>万元，其中：</w:t>
      </w:r>
    </w:p>
    <w:p w14:paraId="41107C1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3826.24</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主要包括：基本工资、津贴补贴、奖金、绩效工资、机关事业单位基本养老保险缴费、职业年金缴费、职工基本医疗保险缴费、</w:t>
      </w:r>
      <w:r>
        <w:rPr>
          <w:rFonts w:hint="eastAsia" w:ascii="FangSong_GB2312" w:hAnsi="FangSong_GB2312" w:eastAsia="FangSong_GB2312" w:cs="FangSong_GB2312"/>
          <w:kern w:val="0"/>
          <w:sz w:val="32"/>
          <w:szCs w:val="32"/>
          <w:lang w:val="en-US" w:eastAsia="zh-CN"/>
        </w:rPr>
        <w:t>其他社会保障缴费、</w:t>
      </w:r>
      <w:r>
        <w:rPr>
          <w:rFonts w:ascii="FangSong_GB2312" w:hAnsi="FangSong_GB2312" w:eastAsia="FangSong_GB2312" w:cs="FangSong_GB2312"/>
          <w:kern w:val="0"/>
          <w:sz w:val="32"/>
          <w:szCs w:val="32"/>
        </w:rPr>
        <w:t>公务员医疗补助缴费、住房公积金、其他工资福利支出、离休费、退休费、抚恤金、生活补助。</w:t>
      </w:r>
    </w:p>
    <w:p w14:paraId="07A577A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216.01</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维修（护）费、培训费、公务接待费、委托业务费、工会经费、福利费、公务用车运行维护费、其他交通费用、其他商品和服务支出、办公设备购置。</w:t>
      </w:r>
    </w:p>
    <w:p w14:paraId="21626798">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420AEC2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7187.78</w:t>
      </w:r>
      <w:r>
        <w:rPr>
          <w:rFonts w:ascii="FangSong_GB2312" w:hAnsi="FangSong_GB2312" w:eastAsia="FangSong_GB2312" w:cs="FangSong_GB2312"/>
          <w:kern w:val="0"/>
          <w:sz w:val="32"/>
          <w:szCs w:val="32"/>
        </w:rPr>
        <w:t>万元，其中：</w:t>
      </w:r>
    </w:p>
    <w:p w14:paraId="5C31A43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220.00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主要包括：其他社会保障缴费、其他工资福利支出。</w:t>
      </w:r>
    </w:p>
    <w:p w14:paraId="5D760F3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598.19</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维修（护）费、租赁费、培训费、公务接待费、劳务费、委托业务费、工会经费、公务用车运行维护费、其他交通费用、其他商品和服务支出。</w:t>
      </w:r>
    </w:p>
    <w:p w14:paraId="46E6324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4434.75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w:t>
      </w:r>
      <w:r>
        <w:rPr>
          <w:rFonts w:hint="eastAsia" w:ascii="FangSong_GB2312" w:hAnsi="FangSong_GB2312" w:eastAsia="FangSong_GB2312" w:cs="FangSong_GB2312"/>
          <w:kern w:val="0"/>
          <w:sz w:val="32"/>
          <w:szCs w:val="32"/>
        </w:rPr>
        <w:t>办公设备购置</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基础设施建设、信息网络及软件购置更新。</w:t>
      </w:r>
    </w:p>
    <w:p w14:paraId="7EA6921D">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3AFF11DB">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644371CA">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22.80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19.70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86.41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18.47</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17.83</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96.51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4.32</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1.87</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43.26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20.44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19.70</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2025年公务接待次数减少，费用减少</w:t>
      </w:r>
      <w:r>
        <w:rPr>
          <w:rFonts w:ascii="FangSong_GB2312" w:hAnsi="FangSong_GB2312" w:eastAsia="FangSong_GB2312" w:cs="FangSong_GB2312"/>
          <w:kern w:val="0"/>
          <w:sz w:val="32"/>
          <w:szCs w:val="32"/>
        </w:rPr>
        <w:t>。</w:t>
      </w:r>
    </w:p>
    <w:p w14:paraId="5131CAED">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5BFBA7D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19.70</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17.83</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90.51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1.87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9.49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542D258">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不涉及</w:t>
      </w:r>
      <w:r>
        <w:rPr>
          <w:rFonts w:ascii="FangSong_GB2312" w:hAnsi="FangSong_GB2312" w:eastAsia="FangSong_GB2312" w:cs="FangSong_GB2312"/>
          <w:kern w:val="0"/>
          <w:sz w:val="32"/>
          <w:szCs w:val="32"/>
        </w:rPr>
        <w:t>。</w:t>
      </w:r>
    </w:p>
    <w:p w14:paraId="0DA20419">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17.83</w:t>
      </w:r>
      <w:r>
        <w:rPr>
          <w:rFonts w:ascii="FangSong_GB2312" w:hAnsi="FangSong_GB2312" w:eastAsia="FangSong_GB2312" w:cs="FangSong_GB2312"/>
          <w:kern w:val="0"/>
          <w:sz w:val="32"/>
          <w:szCs w:val="32"/>
        </w:rPr>
        <w:t>万元。其中：</w:t>
      </w:r>
    </w:p>
    <w:p w14:paraId="7FC26D9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。与上年决算相比，增加（减少）</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不涉及</w:t>
      </w:r>
      <w:r>
        <w:rPr>
          <w:rFonts w:ascii="FangSong_GB2312" w:hAnsi="FangSong_GB2312" w:eastAsia="FangSong_GB2312" w:cs="FangSong_GB2312"/>
          <w:kern w:val="0"/>
          <w:sz w:val="32"/>
          <w:szCs w:val="32"/>
        </w:rPr>
        <w:t>。</w:t>
      </w:r>
    </w:p>
    <w:p w14:paraId="5A68413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17.83</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17 </w:t>
      </w:r>
      <w:r>
        <w:rPr>
          <w:rFonts w:ascii="FangSong_GB2312" w:hAnsi="FangSong_GB2312" w:eastAsia="FangSong_GB2312" w:cs="FangSong_GB2312"/>
          <w:kern w:val="0"/>
          <w:sz w:val="32"/>
          <w:szCs w:val="32"/>
        </w:rPr>
        <w:t>辆。与上年决算相比，减少</w:t>
      </w:r>
      <w:r>
        <w:rPr>
          <w:rFonts w:eastAsia="Times New Roman"/>
          <w:kern w:val="0"/>
          <w:sz w:val="32"/>
          <w:szCs w:val="32"/>
          <w:u w:val="single"/>
          <w:lang w:eastAsia="en-US"/>
        </w:rPr>
        <w:t>0.29</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1.59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部分二级单位公车公出次数较上年减少</w:t>
      </w:r>
      <w:r>
        <w:rPr>
          <w:rFonts w:ascii="FangSong_GB2312" w:hAnsi="FangSong_GB2312" w:eastAsia="FangSong_GB2312" w:cs="FangSong_GB2312"/>
          <w:kern w:val="0"/>
          <w:sz w:val="32"/>
          <w:szCs w:val="32"/>
        </w:rPr>
        <w:t>。</w:t>
      </w:r>
    </w:p>
    <w:p w14:paraId="24E59B11">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1.87</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1.87</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27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179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主要为公函要求接待的工作组</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不涉及</w:t>
      </w:r>
      <w:r>
        <w:rPr>
          <w:rFonts w:ascii="FangSong_GB2312" w:hAnsi="FangSong_GB2312" w:eastAsia="FangSong_GB2312" w:cs="FangSong_GB2312"/>
          <w:kern w:val="0"/>
          <w:sz w:val="32"/>
          <w:szCs w:val="32"/>
        </w:rPr>
        <w:t>。与上年决算相比，减少</w:t>
      </w:r>
      <w:r>
        <w:rPr>
          <w:rFonts w:eastAsia="Times New Roman"/>
          <w:kern w:val="0"/>
          <w:sz w:val="32"/>
          <w:szCs w:val="32"/>
          <w:u w:val="single"/>
          <w:lang w:eastAsia="en-US"/>
        </w:rPr>
        <w:t>2.26</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54.74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积极履行文件要求，过紧日子，无公函不接待，接待人数和次数较上年减少</w:t>
      </w:r>
      <w:r>
        <w:rPr>
          <w:rFonts w:ascii="FangSong_GB2312" w:hAnsi="FangSong_GB2312" w:eastAsia="FangSong_GB2312" w:cs="FangSong_GB2312"/>
          <w:kern w:val="0"/>
          <w:sz w:val="32"/>
          <w:szCs w:val="32"/>
        </w:rPr>
        <w:t>。</w:t>
      </w:r>
    </w:p>
    <w:p w14:paraId="4602C06E">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2AC76E0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484.06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484.06</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主要变动为市住建局</w:t>
      </w:r>
      <w:r>
        <w:rPr>
          <w:rFonts w:hint="eastAsia" w:ascii="仿宋" w:hAnsi="仿宋" w:eastAsia="仿宋" w:cs="仿宋"/>
          <w:b w:val="0"/>
          <w:bCs w:val="0"/>
          <w:sz w:val="32"/>
          <w:szCs w:val="32"/>
          <w:highlight w:val="none"/>
          <w:lang w:val="en-US" w:eastAsia="zh-CN"/>
        </w:rPr>
        <w:t>财政拨入政府性基金用于我局债务化解任务；</w:t>
      </w:r>
      <w:r>
        <w:rPr>
          <w:rFonts w:ascii="FangSong_GB2312" w:hAnsi="FangSong_GB2312" w:eastAsia="FangSong_GB2312" w:cs="FangSong_GB2312"/>
          <w:kern w:val="0"/>
          <w:sz w:val="32"/>
          <w:szCs w:val="32"/>
        </w:rPr>
        <w:t>。其中：</w:t>
      </w:r>
    </w:p>
    <w:p w14:paraId="5D6A707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w:t>
      </w:r>
      <w:r>
        <w:rPr>
          <w:rFonts w:hint="eastAsia" w:ascii="仿宋" w:hAnsi="仿宋" w:eastAsia="仿宋" w:cs="仿宋"/>
          <w:b w:val="0"/>
          <w:bCs w:val="0"/>
          <w:sz w:val="32"/>
          <w:szCs w:val="32"/>
          <w:highlight w:val="none"/>
          <w:lang w:val="en-US" w:eastAsia="zh-CN"/>
        </w:rPr>
        <w:t>其他支出（类）其他政府性基金及对应专项债务收入安排的支出（款）其他政府性基金债务收入安排的支出（项）支出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484.06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万元，主要用于</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化解债务</w:t>
      </w:r>
      <w:r>
        <w:rPr>
          <w:rFonts w:ascii="FangSong_GB2312" w:hAnsi="FangSong_GB2312" w:eastAsia="FangSong_GB2312" w:cs="FangSong_GB2312"/>
          <w:kern w:val="0"/>
          <w:sz w:val="32"/>
          <w:szCs w:val="32"/>
        </w:rPr>
        <w:t>。</w:t>
      </w:r>
    </w:p>
    <w:p w14:paraId="7147F9D8">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66330B1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，变动原因：本年无国有资本经营预算财政拨款收、支、余。</w:t>
      </w:r>
    </w:p>
    <w:p w14:paraId="6DAE97EA">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461A67D1">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巴彦淖尔市住房和城乡建设局部门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217.21</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5.12</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本年度部门内新增数名职工</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70.29</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1.03</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1.48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本年度部门内新增数名职工，</w:t>
      </w:r>
      <w:r>
        <w:rPr>
          <w:rFonts w:hint="eastAsia" w:ascii="仿宋" w:hAnsi="仿宋" w:eastAsia="仿宋" w:cs="仿宋"/>
          <w:b w:val="0"/>
          <w:bCs w:val="0"/>
          <w:sz w:val="32"/>
          <w:szCs w:val="32"/>
          <w:highlight w:val="none"/>
          <w:lang w:val="en-US" w:eastAsia="zh-CN"/>
        </w:rPr>
        <w:t>办公经费增加</w:t>
      </w:r>
      <w:r>
        <w:rPr>
          <w:rFonts w:ascii="FangSong_GB2312" w:hAnsi="FangSong_GB2312" w:eastAsia="FangSong_GB2312" w:cs="FangSong_GB2312"/>
          <w:kern w:val="0"/>
          <w:sz w:val="32"/>
          <w:szCs w:val="32"/>
        </w:rPr>
        <w:t>。</w:t>
      </w:r>
    </w:p>
    <w:p w14:paraId="605F09BE">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69506AE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501.89</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34.26</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467.63</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181.19</w:t>
      </w:r>
      <w:r>
        <w:rPr>
          <w:rFonts w:ascii="FangSong_GB2312" w:hAnsi="FangSong_GB2312" w:eastAsia="FangSong_GB2312" w:cs="FangSong_GB2312"/>
          <w:kern w:val="0"/>
          <w:sz w:val="32"/>
          <w:szCs w:val="32"/>
        </w:rPr>
        <w:t>万元，占政府采购支出总额的</w:t>
      </w:r>
      <w:r>
        <w:rPr>
          <w:rFonts w:hint="eastAsia" w:eastAsia="宋体"/>
          <w:kern w:val="0"/>
          <w:sz w:val="32"/>
          <w:szCs w:val="32"/>
          <w:u w:val="single"/>
          <w:lang w:val="en-US" w:eastAsia="zh-CN"/>
        </w:rPr>
        <w:t>36.1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174.64</w:t>
      </w:r>
      <w:r>
        <w:rPr>
          <w:rFonts w:ascii="FangSong_GB2312" w:hAnsi="FangSong_GB2312" w:eastAsia="FangSong_GB2312" w:cs="FangSong_GB2312"/>
          <w:kern w:val="0"/>
          <w:sz w:val="32"/>
          <w:szCs w:val="32"/>
        </w:rPr>
        <w:t>万元，占政府采购支出总额的</w:t>
      </w:r>
      <w:r>
        <w:rPr>
          <w:rFonts w:hint="eastAsia" w:eastAsia="宋体"/>
          <w:kern w:val="0"/>
          <w:sz w:val="32"/>
          <w:szCs w:val="32"/>
          <w:u w:val="single"/>
          <w:lang w:val="en-US" w:eastAsia="zh-CN"/>
        </w:rPr>
        <w:t>34.8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eastAsia="宋体"/>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1730012">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5C3F98E5">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17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2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15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进行公出任务的公务用车</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3 </w:t>
      </w:r>
      <w:r>
        <w:rPr>
          <w:rFonts w:ascii="FangSong_GB2312" w:hAnsi="FangSong_GB2312" w:eastAsia="FangSong_GB2312" w:cs="FangSong_GB2312"/>
          <w:kern w:val="0"/>
          <w:sz w:val="32"/>
          <w:szCs w:val="32"/>
        </w:rPr>
        <w:t>台（套）。</w:t>
      </w:r>
    </w:p>
    <w:p w14:paraId="7FF92F71">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347323A9">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229C7849">
      <w:pPr>
        <w:pStyle w:val="30"/>
        <w:widowControl/>
        <w:spacing w:before="240" w:after="240" w:line="560" w:lineRule="atLeast"/>
        <w:ind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rPr>
        <w:t>巴彦淖尔市住房和城乡建设局部门根据预算绩效管理要求组织对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eastAsia="宋体"/>
          <w:kern w:val="0"/>
          <w:sz w:val="32"/>
          <w:szCs w:val="32"/>
          <w:u w:val="single"/>
          <w:lang w:val="en-US" w:eastAsia="zh-CN"/>
        </w:rPr>
        <w:t>1</w:t>
      </w:r>
      <w:r>
        <w:rPr>
          <w:rFonts w:hint="eastAsia"/>
          <w:kern w:val="0"/>
          <w:sz w:val="32"/>
          <w:szCs w:val="32"/>
          <w:u w:val="single"/>
          <w:lang w:val="en-US" w:eastAsia="zh-CN"/>
        </w:rPr>
        <w:t>4</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7187.78</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eastAsia="宋体"/>
          <w:kern w:val="0"/>
          <w:sz w:val="32"/>
          <w:szCs w:val="32"/>
          <w:u w:val="single"/>
          <w:lang w:val="en-US" w:eastAsia="zh-CN"/>
        </w:rPr>
        <w:t>2</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484.06</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p>
    <w:p w14:paraId="1271ECE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rPr>
        <w:t>“城市精细化管理工作经费项目”、“</w:t>
      </w:r>
      <w:r>
        <w:rPr>
          <w:rFonts w:hint="eastAsia" w:ascii="FangSong_GB2312" w:hAnsi="FangSong_GB2312" w:eastAsia="FangSong_GB2312" w:cs="FangSong_GB2312"/>
          <w:kern w:val="0"/>
          <w:sz w:val="32"/>
          <w:szCs w:val="32"/>
          <w:lang w:val="en-US" w:eastAsia="zh-CN"/>
        </w:rPr>
        <w:t>市驻村干部工作补贴</w:t>
      </w:r>
      <w:r>
        <w:rPr>
          <w:rFonts w:hint="eastAsia"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val="en-US" w:eastAsia="zh-CN"/>
        </w:rPr>
        <w:t>住建综合保障工作经费</w:t>
      </w:r>
      <w:r>
        <w:rPr>
          <w:rFonts w:hint="eastAsia" w:ascii="FangSong_GB2312" w:hAnsi="FangSong_GB2312" w:eastAsia="FangSong_GB2312" w:cs="FangSong_GB2312"/>
          <w:kern w:val="0"/>
          <w:sz w:val="32"/>
          <w:szCs w:val="32"/>
        </w:rPr>
        <w:t>项目 ”等16个项目开展了部门（单位）评价，项目基本完成了期初设置的绩效目标，系统的16个项目的完成是我局202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全年面对改革发展稳定的繁重任务，全市住建系统坚持以习近平新时代中国特色社会主义思想为指引，深入贯彻落实党的二十大精神，在市委市政府的坚强领导下，紧扣铸牢中华民族共同体意识这条主线，聚焦聚力办好“两件大事”，攻坚克难、真抓实干，稳增长、惠民生、防风险、促 转型、增动能，出色地完成了各项目标任务，全市住建事业取得了新进步、新成效。涉及一般公共预算支</w:t>
      </w:r>
      <w:r>
        <w:rPr>
          <w:rFonts w:hint="eastAsia" w:ascii="FangSong_GB2312" w:hAnsi="FangSong_GB2312" w:eastAsia="FangSong_GB2312" w:cs="FangSong_GB2312"/>
          <w:kern w:val="0"/>
          <w:sz w:val="32"/>
          <w:szCs w:val="32"/>
          <w:lang w:val="en-US" w:eastAsia="zh-CN"/>
        </w:rPr>
        <w:t>出</w:t>
      </w:r>
      <w:r>
        <w:rPr>
          <w:rFonts w:hint="eastAsia" w:ascii="FangSong_GB2312" w:hAnsi="FangSong_GB2312" w:eastAsia="FangSong_GB2312" w:cs="FangSong_GB2312"/>
          <w:kern w:val="0"/>
          <w:sz w:val="32"/>
          <w:szCs w:val="32"/>
        </w:rPr>
        <w:t>7187.78万元，政府性基金支出484.0</w:t>
      </w:r>
      <w:r>
        <w:rPr>
          <w:rFonts w:hint="eastAsia" w:ascii="FangSong_GB2312" w:hAnsi="FangSong_GB2312" w:eastAsia="FangSong_GB2312" w:cs="FangSong_GB2312"/>
          <w:kern w:val="0"/>
          <w:sz w:val="32"/>
          <w:szCs w:val="32"/>
          <w:lang w:val="en-US" w:eastAsia="zh-CN"/>
        </w:rPr>
        <w:t>6</w:t>
      </w:r>
      <w:r>
        <w:rPr>
          <w:rFonts w:hint="eastAsia" w:ascii="FangSong_GB2312" w:hAnsi="FangSong_GB2312" w:eastAsia="FangSong_GB2312" w:cs="FangSong_GB2312"/>
          <w:kern w:val="0"/>
          <w:sz w:val="32"/>
          <w:szCs w:val="32"/>
        </w:rPr>
        <w:t>万元。 其中，对“城市精细化管理工作经费项目”、“</w:t>
      </w:r>
      <w:r>
        <w:rPr>
          <w:rFonts w:hint="eastAsia" w:ascii="FangSong_GB2312" w:hAnsi="FangSong_GB2312" w:eastAsia="FangSong_GB2312" w:cs="FangSong_GB2312"/>
          <w:kern w:val="0"/>
          <w:sz w:val="32"/>
          <w:szCs w:val="32"/>
          <w:lang w:val="en-US" w:eastAsia="zh-CN"/>
        </w:rPr>
        <w:t>市驻村干部工作补贴</w:t>
      </w:r>
      <w:r>
        <w:rPr>
          <w:rFonts w:hint="eastAsia"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val="en-US" w:eastAsia="zh-CN"/>
        </w:rPr>
        <w:t>住建综合保障工作经费</w:t>
      </w:r>
      <w:r>
        <w:rPr>
          <w:rFonts w:hint="eastAsia" w:ascii="FangSong_GB2312" w:hAnsi="FangSong_GB2312" w:eastAsia="FangSong_GB2312" w:cs="FangSong_GB2312"/>
          <w:kern w:val="0"/>
          <w:sz w:val="32"/>
          <w:szCs w:val="32"/>
        </w:rPr>
        <w:t>项目 ”等项目分别开展了绩效评价。从评价情况看，以上项目完成了既定的绩效总目标。住房保障体系日益完善，建筑业转型升级步伐加快，城乡发展质量稳步提升，重点民生实事成效明显，绿色节约发展加速推进，工程建管水平持续 提升，安全发展防线更加坚固，党的建设和党风廉政建设持续推进</w:t>
      </w:r>
      <w:r>
        <w:rPr>
          <w:rFonts w:ascii="FangSong_GB2312" w:hAnsi="FangSong_GB2312" w:eastAsia="FangSong_GB2312" w:cs="FangSong_GB2312"/>
          <w:kern w:val="0"/>
          <w:sz w:val="32"/>
          <w:szCs w:val="32"/>
        </w:rPr>
        <w:t>。</w:t>
      </w:r>
    </w:p>
    <w:p w14:paraId="5A6CC4D9">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（二）部门（单位）决算中项目绩效自评结果。</w:t>
      </w:r>
    </w:p>
    <w:p w14:paraId="4025E78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巴彦淖尔市住房和城乡建设局部门</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ascii="FangSong_GB2312" w:hAnsi="FangSong_GB2312" w:eastAsia="FangSong_GB2312" w:cs="FangSong_GB2312"/>
          <w:kern w:val="0"/>
          <w:sz w:val="32"/>
          <w:szCs w:val="32"/>
          <w:lang w:val="en-US" w:eastAsia="zh-CN"/>
        </w:rPr>
        <w:t>5</w:t>
      </w:r>
      <w:r>
        <w:rPr>
          <w:rFonts w:ascii="FangSong_GB2312" w:hAnsi="FangSong_GB2312" w:eastAsia="FangSong_GB2312" w:cs="FangSong_GB2312"/>
          <w:kern w:val="0"/>
          <w:sz w:val="32"/>
          <w:szCs w:val="32"/>
        </w:rPr>
        <w:t>个一般公共预算项目的绩效自评结果。</w:t>
      </w:r>
    </w:p>
    <w:p w14:paraId="10E92BD8">
      <w:pPr>
        <w:pStyle w:val="30"/>
        <w:widowControl/>
        <w:numPr>
          <w:ilvl w:val="0"/>
          <w:numId w:val="3"/>
        </w:numPr>
        <w:spacing w:before="240" w:after="240" w:line="560" w:lineRule="atLeast"/>
        <w:ind w:firstLine="640"/>
        <w:jc w:val="left"/>
        <w:rPr>
          <w:rFonts w:hint="eastAsia" w:ascii="FangSong_GB2312" w:hAnsi="FangSong_GB2312" w:eastAsia="FangSong_GB2312" w:cs="FangSong_GB2312"/>
          <w:kern w:val="0"/>
          <w:sz w:val="32"/>
          <w:szCs w:val="32"/>
        </w:rPr>
      </w:pPr>
      <w:bookmarkStart w:id="1" w:name="OLE_LINK3"/>
      <w:r>
        <w:rPr>
          <w:rFonts w:hint="eastAsia" w:ascii="FangSong_GB2312" w:hAnsi="FangSong_GB2312" w:eastAsia="FangSong_GB2312" w:cs="FangSong_GB2312"/>
          <w:kern w:val="0"/>
          <w:sz w:val="32"/>
          <w:szCs w:val="32"/>
        </w:rPr>
        <w:t>城市精细化管理工作经费</w:t>
      </w:r>
      <w:r>
        <w:rPr>
          <w:rFonts w:ascii="FangSong_GB2312" w:hAnsi="FangSong_GB2312" w:eastAsia="FangSong_GB2312" w:cs="FangSong_GB2312"/>
          <w:kern w:val="0"/>
          <w:sz w:val="32"/>
          <w:szCs w:val="32"/>
        </w:rPr>
        <w:t>项目自评综述：根据年初设定的绩效目标，项目自评得分</w:t>
      </w:r>
      <w:r>
        <w:rPr>
          <w:rFonts w:hint="eastAsia" w:eastAsia="宋体"/>
          <w:kern w:val="0"/>
          <w:sz w:val="32"/>
          <w:szCs w:val="32"/>
          <w:u w:val="single"/>
          <w:lang w:val="en-US" w:eastAsia="zh-CN"/>
        </w:rPr>
        <w:t>99.96</w:t>
      </w:r>
      <w:r>
        <w:rPr>
          <w:rFonts w:ascii="FangSong_GB2312" w:hAnsi="FangSong_GB2312" w:eastAsia="FangSong_GB2312" w:cs="FangSong_GB2312"/>
          <w:kern w:val="0"/>
          <w:sz w:val="32"/>
          <w:szCs w:val="32"/>
        </w:rPr>
        <w:t>分。全年预算数为</w:t>
      </w:r>
      <w:r>
        <w:rPr>
          <w:rFonts w:hint="eastAsia" w:eastAsia="宋体"/>
          <w:kern w:val="0"/>
          <w:sz w:val="32"/>
          <w:szCs w:val="32"/>
          <w:u w:val="single"/>
          <w:lang w:val="en-US" w:eastAsia="zh-CN"/>
        </w:rPr>
        <w:t>45</w:t>
      </w:r>
      <w:r>
        <w:rPr>
          <w:rFonts w:ascii="FangSong_GB2312" w:hAnsi="FangSong_GB2312" w:eastAsia="FangSong_GB2312" w:cs="FangSong_GB2312"/>
          <w:kern w:val="0"/>
          <w:sz w:val="32"/>
          <w:szCs w:val="32"/>
        </w:rPr>
        <w:t>万元，执行数为</w:t>
      </w:r>
      <w:r>
        <w:rPr>
          <w:rFonts w:hint="eastAsia" w:eastAsia="宋体"/>
          <w:kern w:val="0"/>
          <w:sz w:val="32"/>
          <w:szCs w:val="32"/>
          <w:u w:val="single"/>
          <w:lang w:val="en-US" w:eastAsia="zh-CN"/>
        </w:rPr>
        <w:t>47.8</w:t>
      </w:r>
      <w:r>
        <w:rPr>
          <w:rFonts w:ascii="FangSong_GB2312" w:hAnsi="FangSong_GB2312" w:eastAsia="FangSong_GB2312" w:cs="FangSong_GB2312"/>
          <w:kern w:val="0"/>
          <w:sz w:val="32"/>
          <w:szCs w:val="32"/>
        </w:rPr>
        <w:t>万元，完成预算的</w:t>
      </w:r>
      <w:r>
        <w:rPr>
          <w:rFonts w:hint="eastAsia" w:eastAsia="宋体"/>
          <w:kern w:val="0"/>
          <w:sz w:val="32"/>
          <w:szCs w:val="32"/>
          <w:u w:val="single"/>
          <w:lang w:val="en-US" w:eastAsia="zh-CN"/>
        </w:rPr>
        <w:t>99.64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项目年度绩效指标完成情况较好，执行过程中产生了良好的社会效益，达到了预期的绩效目标。</w:t>
      </w:r>
      <w:bookmarkStart w:id="2" w:name="OLE_LINK2"/>
      <w:r>
        <w:rPr>
          <w:rFonts w:hint="eastAsia" w:ascii="FangSong_GB2312" w:hAnsi="FangSong_GB2312" w:eastAsia="FangSong_GB2312" w:cs="FangSong_GB2312"/>
          <w:kern w:val="0"/>
          <w:sz w:val="32"/>
          <w:szCs w:val="32"/>
        </w:rPr>
        <w:t>发现的主要问题及原因</w:t>
      </w:r>
      <w:bookmarkEnd w:id="2"/>
      <w:r>
        <w:rPr>
          <w:rFonts w:hint="eastAsia" w:ascii="FangSong_GB2312" w:hAnsi="FangSong_GB2312" w:eastAsia="FangSong_GB2312" w:cs="FangSong_GB2312"/>
          <w:kern w:val="0"/>
          <w:sz w:val="32"/>
          <w:szCs w:val="32"/>
        </w:rPr>
        <w:t>：（1）项目立项、实施存在问题。（2）资金管理使用存在问题。下一步改进措施：</w:t>
      </w:r>
      <w:bookmarkEnd w:id="1"/>
      <w:r>
        <w:rPr>
          <w:rFonts w:hint="eastAsia" w:ascii="FangSong_GB2312" w:hAnsi="FangSong_GB2312" w:eastAsia="FangSong_GB2312" w:cs="FangSong_GB2312"/>
          <w:kern w:val="0"/>
          <w:sz w:val="32"/>
          <w:szCs w:val="32"/>
        </w:rPr>
        <w:t>（1）项目成果的备份与管理：项目的成果要进行备份管理，确保成果的安全可靠，在备份的过程中，我们需要确保数据的完整性和一致性。（2）成果的推广和应用：在项目中取得的成果需要进行充 分的推广和应用，通过专门的会议、培训、宣传等形式，让成果得到更多的认可和使用。（3）团队的能力建设：在执行项目的过程中，我们需要不断提升团队的能力水平，让团队成员能够不断地学习和进步。同时，也需要进行团队成员的能力评估，鼓励优秀的成员，补充短板。</w:t>
      </w:r>
    </w:p>
    <w:p w14:paraId="42CDB093">
      <w:pPr>
        <w:pStyle w:val="30"/>
        <w:widowControl/>
        <w:numPr>
          <w:ilvl w:val="0"/>
          <w:numId w:val="0"/>
        </w:numPr>
        <w:spacing w:before="240" w:after="240" w:line="560" w:lineRule="atLeast"/>
        <w:ind w:firstLine="320" w:firstLineChars="10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0500" cy="4450080"/>
            <wp:effectExtent l="0" t="0" r="0" b="7620"/>
            <wp:docPr id="2" name="图片 2" descr="befedf80f451a52badaa4c58da9fd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fedf80f451a52badaa4c58da9fde25"/>
                    <pic:cNvPicPr>
                      <a:picLocks noChangeAspect="1"/>
                    </pic:cNvPicPr>
                  </pic:nvPicPr>
                  <pic:blipFill>
                    <a:blip r:embed="rId8"/>
                    <a:stretch>
                      <a:fillRect/>
                    </a:stretch>
                  </pic:blipFill>
                  <pic:spPr>
                    <a:xfrm>
                      <a:off x="0" y="0"/>
                      <a:ext cx="5270500" cy="4450080"/>
                    </a:xfrm>
                    <a:prstGeom prst="rect">
                      <a:avLst/>
                    </a:prstGeom>
                  </pic:spPr>
                </pic:pic>
              </a:graphicData>
            </a:graphic>
          </wp:inline>
        </w:drawing>
      </w:r>
    </w:p>
    <w:p w14:paraId="227AEE19">
      <w:pPr>
        <w:pStyle w:val="30"/>
        <w:widowControl/>
        <w:numPr>
          <w:ilvl w:val="0"/>
          <w:numId w:val="3"/>
        </w:numPr>
        <w:spacing w:before="240" w:after="240" w:line="560" w:lineRule="atLeast"/>
        <w:ind w:left="0" w:leftChars="0" w:firstLine="640" w:firstLineChars="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en-US"/>
        </w:rPr>
        <w:t>市直单位驻村干部工作补贴</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2.4</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2.4</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本年度驻村干部工作补贴项目有序实施，全面完成既定绩效目标。项目资金专款专用、拨付规范，主要用于保障驻村干部生活、通勤、通讯等履职需求，有效解决驻村干部基层工作保障难题，稳定驻村工作力量，保障驻村干部常态化下沉基层开展帮扶、民生服务及基层治理工作，较好发挥了资金保障效能。发现的主要问题及原因：一是绩效指标量化度不足，指标偏宏观，对资金使用成效细化考核不够。二是日常绩效动态监控力度偏弱，重资金合规管理、轻效益跟踪。主要原因是项目为保障性补助性质，日常管理侧重资金规范使用，精细化绩效管理意识和常态化跟踪机制不够完善。下一步改进措施：进一步细化量化绩效指标，提升目标精准度。强化项目全过程绩效监控，完善台账管理，加强资金使用与履职成效联动核查。深化绩效结果运用，持续规范资金管理，切实提升专项资金保障效益</w:t>
      </w:r>
      <w:r>
        <w:rPr>
          <w:rFonts w:hint="eastAsia" w:ascii="FangSong_GB2312" w:hAnsi="FangSong_GB2312" w:eastAsia="FangSong_GB2312" w:cs="FangSong_GB2312"/>
          <w:kern w:val="0"/>
          <w:sz w:val="32"/>
          <w:szCs w:val="32"/>
          <w:lang w:eastAsia="zh-CN"/>
        </w:rPr>
        <w:t>。</w:t>
      </w:r>
    </w:p>
    <w:p w14:paraId="4BC8C746">
      <w:pPr>
        <w:pStyle w:val="30"/>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4161155"/>
            <wp:effectExtent l="0" t="0" r="12065" b="4445"/>
            <wp:docPr id="10" name="图片 10" descr="驻村干部工作补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驻村干部工作补贴"/>
                    <pic:cNvPicPr>
                      <a:picLocks noChangeAspect="1"/>
                    </pic:cNvPicPr>
                  </pic:nvPicPr>
                  <pic:blipFill>
                    <a:blip r:embed="rId9"/>
                    <a:stretch>
                      <a:fillRect/>
                    </a:stretch>
                  </pic:blipFill>
                  <pic:spPr>
                    <a:xfrm>
                      <a:off x="0" y="0"/>
                      <a:ext cx="5271135" cy="4161155"/>
                    </a:xfrm>
                    <a:prstGeom prst="rect">
                      <a:avLst/>
                    </a:prstGeom>
                  </pic:spPr>
                </pic:pic>
              </a:graphicData>
            </a:graphic>
          </wp:inline>
        </w:drawing>
      </w:r>
    </w:p>
    <w:p w14:paraId="7BDB498F">
      <w:pPr>
        <w:pStyle w:val="30"/>
        <w:widowControl/>
        <w:numPr>
          <w:ilvl w:val="0"/>
          <w:numId w:val="3"/>
        </w:numPr>
        <w:spacing w:before="240" w:after="240" w:line="560" w:lineRule="atLeast"/>
        <w:ind w:left="0" w:leftChars="0" w:firstLine="640" w:firstLineChars="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en-US"/>
        </w:rPr>
        <w:t>住建综合保障工作经费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9.5</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9.49</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99.89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本年度顺利</w:t>
      </w:r>
      <w:r>
        <w:rPr>
          <w:rFonts w:hint="eastAsia" w:ascii="FangSong_GB2312" w:hAnsi="FangSong_GB2312" w:eastAsia="FangSong_GB2312" w:cs="FangSong_GB2312"/>
          <w:kern w:val="0"/>
          <w:sz w:val="32"/>
          <w:szCs w:val="32"/>
          <w:lang w:val="en-US" w:eastAsia="zh-CN"/>
        </w:rPr>
        <w:t>辅助局机关</w:t>
      </w:r>
      <w:r>
        <w:rPr>
          <w:rFonts w:hint="eastAsia" w:ascii="FangSong_GB2312" w:hAnsi="FangSong_GB2312" w:eastAsia="FangSong_GB2312" w:cs="FangSong_GB2312"/>
          <w:kern w:val="0"/>
          <w:sz w:val="32"/>
          <w:szCs w:val="32"/>
        </w:rPr>
        <w:t>完成保障性住房、农村危房改造、市政工程、民用及公共建筑等领域质量安全综合检查各项工作任务。发现的主要问题及原因：部分绩效指标量化细化不足，过程绩效跟踪不够精细。下一步改进措施：进一步细化量化绩效指标，强化全过程绩效监控。完善检查台账和成效资料归集，整改闭环动态管理机制，强化绩效结果运用，持续提升</w:t>
      </w:r>
      <w:r>
        <w:rPr>
          <w:rFonts w:hint="eastAsia" w:ascii="FangSong_GB2312" w:hAnsi="FangSong_GB2312" w:eastAsia="FangSong_GB2312" w:cs="FangSong_GB2312"/>
          <w:kern w:val="0"/>
          <w:sz w:val="32"/>
          <w:szCs w:val="32"/>
          <w:lang w:val="en-US" w:eastAsia="zh-CN"/>
        </w:rPr>
        <w:t>辅助性</w:t>
      </w:r>
      <w:r>
        <w:rPr>
          <w:rFonts w:hint="eastAsia" w:ascii="FangSong_GB2312" w:hAnsi="FangSong_GB2312" w:eastAsia="FangSong_GB2312" w:cs="FangSong_GB2312"/>
          <w:kern w:val="0"/>
          <w:sz w:val="32"/>
          <w:szCs w:val="32"/>
        </w:rPr>
        <w:t>效能和项目资金使用效益。</w:t>
      </w:r>
    </w:p>
    <w:p w14:paraId="2AA7BD03">
      <w:pPr>
        <w:pStyle w:val="30"/>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361305" cy="4284345"/>
            <wp:effectExtent l="0" t="0" r="10795" b="8255"/>
            <wp:docPr id="11" name="图片 11" descr="住建综合保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住建综合保障"/>
                    <pic:cNvPicPr>
                      <a:picLocks noChangeAspect="1"/>
                    </pic:cNvPicPr>
                  </pic:nvPicPr>
                  <pic:blipFill>
                    <a:blip r:embed="rId10"/>
                    <a:stretch>
                      <a:fillRect/>
                    </a:stretch>
                  </pic:blipFill>
                  <pic:spPr>
                    <a:xfrm>
                      <a:off x="0" y="0"/>
                      <a:ext cx="5361305" cy="4284345"/>
                    </a:xfrm>
                    <a:prstGeom prst="rect">
                      <a:avLst/>
                    </a:prstGeom>
                  </pic:spPr>
                </pic:pic>
              </a:graphicData>
            </a:graphic>
          </wp:inline>
        </w:drawing>
      </w:r>
    </w:p>
    <w:p w14:paraId="3E81D503">
      <w:pPr>
        <w:pStyle w:val="30"/>
        <w:widowControl/>
        <w:numPr>
          <w:ilvl w:val="0"/>
          <w:numId w:val="3"/>
        </w:numPr>
        <w:spacing w:before="240" w:after="240" w:line="560" w:lineRule="atLeast"/>
        <w:ind w:left="0" w:leftChars="0" w:firstLine="640" w:firstLineChars="0"/>
        <w:jc w:val="left"/>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绿色建筑节能保障工作经费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92.28</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9.5</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6.06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63.79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一是持续落实全市绿色建筑月报制度；二是持续落实新建居住区养老服务设施和建设工程无障碍数据统计月报工作；三是开展民用建筑能耗统计上报工作；四是配合开展农村生活垃圾排查整治行动；五是汇总整理全市住建领域数据；六是配合自治区住建厅完成能耗在线监测设备排查工作；七是开展民用建筑节能和绿色建筑“双随机、一公开”监督检查工作。发现的主要问题及原因：</w:t>
      </w:r>
      <w:r>
        <w:rPr>
          <w:rFonts w:hint="eastAsia" w:ascii="FangSong_GB2312" w:hAnsi="FangSong_GB2312" w:eastAsia="FangSong_GB2312" w:cs="FangSong_GB2312"/>
          <w:kern w:val="0"/>
          <w:sz w:val="32"/>
          <w:szCs w:val="32"/>
          <w:lang w:val="en-US" w:eastAsia="zh-CN"/>
        </w:rPr>
        <w:t>一是绿色建材推广、科技成果转化等工作量化绩效指标不够细化，成果推广成效难以精准量化考核。二是绿色建筑课题研究、技术革新成果落地转化速度偏慢，部分技术服务、数据分析成果未能充分赋能行业发展。三是绿色发展数据系统动态更新、深度分析力度不足。主要原因是项目业务覆盖面广、专业性强，日常侧重业务落实和技术服务，对绩效精细化管理、成果落地成效跟踪和数据深度应用的工作力度有待加强。</w:t>
      </w:r>
      <w:r>
        <w:rPr>
          <w:rFonts w:hint="eastAsia" w:ascii="FangSong_GB2312" w:hAnsi="FangSong_GB2312" w:eastAsia="FangSong_GB2312" w:cs="FangSong_GB2312"/>
          <w:kern w:val="0"/>
          <w:sz w:val="32"/>
          <w:szCs w:val="32"/>
        </w:rPr>
        <w:t>下一步改进措施：进一步细化完善量化绩效指标，提升考核精准度。加快绿色建筑新技术、新成果推广转化，强化课题研究成果落地应用。常态化完善住建绿色发展数据信息系统，细化各类项目数据汇总分析。同时强化全过程绩效管控，补齐绩效管理短板，全面提升绿色节能技术服务、科技创新及数据服务综合效能。</w:t>
      </w:r>
    </w:p>
    <w:p w14:paraId="2989BB12">
      <w:pPr>
        <w:pStyle w:val="30"/>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69865" cy="5658485"/>
            <wp:effectExtent l="0" t="0" r="635" b="5715"/>
            <wp:docPr id="12" name="图片 12" descr="77bb762f-2cf1-45de-8687-a72a4b2d48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77bb762f-2cf1-45de-8687-a72a4b2d487b"/>
                    <pic:cNvPicPr>
                      <a:picLocks noChangeAspect="1"/>
                    </pic:cNvPicPr>
                  </pic:nvPicPr>
                  <pic:blipFill>
                    <a:blip r:embed="rId11"/>
                    <a:stretch>
                      <a:fillRect/>
                    </a:stretch>
                  </pic:blipFill>
                  <pic:spPr>
                    <a:xfrm>
                      <a:off x="0" y="0"/>
                      <a:ext cx="5269865" cy="5658485"/>
                    </a:xfrm>
                    <a:prstGeom prst="rect">
                      <a:avLst/>
                    </a:prstGeom>
                  </pic:spPr>
                </pic:pic>
              </a:graphicData>
            </a:graphic>
          </wp:inline>
        </w:drawing>
      </w:r>
    </w:p>
    <w:p w14:paraId="5BB19199">
      <w:pPr>
        <w:pStyle w:val="30"/>
        <w:widowControl/>
        <w:numPr>
          <w:ilvl w:val="0"/>
          <w:numId w:val="3"/>
        </w:numPr>
        <w:spacing w:before="240" w:after="240" w:line="560" w:lineRule="atLeast"/>
        <w:ind w:left="0" w:leftChars="0" w:firstLine="640" w:firstLineChars="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rPr>
        <w:t>房屋产权交易业务费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93.56</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9.56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95.6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目标1：全市商品房预销售批准3438套，同比下降53.15%，其中：住宅预销售批准3200套，同比下降45.69%。全市新建商品房网签套数7597套，同比下降13.94%，其中：住宅网签套数6301套，同比下降10.34%。全市商品房累计可网签套数45571套。中心对42家房地产开发企业进行预售资金监管，共有商品房资金监管账户71个，受理资金拨付业务448笔。全市商品房预售资金监管总额30.13亿元，拨付资金28.7亿元，余额1.5亿元。目标2：房产测绘成果备案办接结30件，其中：实测14件、实测变更4件、预测10件、预测变更2件，房产测绘成果备案数据已上传房地产市场监管服务平台。目标3：全市新建商品房网签均价3200.24元/平方米，同比下降3.46%，其中：住宅网签均价3081.75元/平方米，同比上升1.81%。目标4：通过推进住宅物业服务全覆盖，巩固住宅物业服务全覆盖提品质三年攻坚行动，全市物业管理覆盖率达100%，专业化物业覆盖率89.84%，业委会（物管会）覆盖率95.3%；召开物业行业党委大会，增补调整党委委员并向各旗县区下发2025年工作计划协助局机关对物业小区飞线充电、占堵通道、违规停放等违法违规行为和重大安全隐患进行三轮全面排查，处理违规行为3614件。全市电动自行车充电桩安装小区1146个，安装充电桩7003个、充电端口75550个，安装小区覆盖率96.7%；开展物业服务履约不到位专项整治。推动物业小区设立“骑手驿站”，目前全市已有686个小区开始采用骑手便利措施，完成了自治区物业监督一体化平台的信息录入启用，“物业马上办”二维码已全覆盖全市所有物业小区。目标5：恒大项目从2023年6月30日开始陆续向购房人交付房屋，截至2025年9月底，共有1500户领取钥匙，已办理不动产登记证246套。协助局机关草拟《全市“保交楼”“保交房”“入住难、回迁难”项目竣工验收及消防验收专项整治行动方案》，目前全市保交楼86个项目，24679套已全部完成销号。全市保交房项目共14个，1936套，其中：8个项目已交付，2个项目已办理竣工验收首次登记。按照住建部、自然资源部《关于对房地产已供土地和在建项目摸排工作的通知》要求，全市已在房地产信息采集系统上传246个项目信息，后续每月各旗县区需要在系统中更新信息。发现的主要问题及原因：本项目业务涵盖房地产市场监测、交易备案、资金监管、物业指导及各类专项攻坚任务，工作事项繁杂、动态性强。目前存在绩效指标量化细化不足，部分市场调控分析、专项工作成效难以精准量化考核的问题。同时，日常工作侧重业务落地办理，对工作成效的系统性总结、数据深度分析以及绩效过程动态管控较为薄弱。究其原因，业务事务多、临时性专项任务集中，精细化绩效管理意识不足，绩效常态化跟踪机制不够完善。下一步改进措施：进一步细化量化绩效考核指标，贴合房地产监测、交易服务、专项工作等业务实际。强化工作全过程绩效管控，做好业务数据汇总分析与成效梳理。健全常态化工作台账，深化市场数据分析研判，提升政策辅助、行业指导和专项工作质效，充分发挥绩效管控对业务工作的赋能作用。</w:t>
      </w:r>
    </w:p>
    <w:p w14:paraId="70C2BB91">
      <w:pPr>
        <w:pStyle w:val="30"/>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67960" cy="6026785"/>
            <wp:effectExtent l="0" t="0" r="2540" b="5715"/>
            <wp:docPr id="13" name="图片 13" descr="809db57b-04e6-48a2-8951-3c4bf2b238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09db57b-04e6-48a2-8951-3c4bf2b2381a"/>
                    <pic:cNvPicPr>
                      <a:picLocks noChangeAspect="1"/>
                    </pic:cNvPicPr>
                  </pic:nvPicPr>
                  <pic:blipFill>
                    <a:blip r:embed="rId12"/>
                    <a:stretch>
                      <a:fillRect/>
                    </a:stretch>
                  </pic:blipFill>
                  <pic:spPr>
                    <a:xfrm>
                      <a:off x="0" y="0"/>
                      <a:ext cx="5267960" cy="6026785"/>
                    </a:xfrm>
                    <a:prstGeom prst="rect">
                      <a:avLst/>
                    </a:prstGeom>
                  </pic:spPr>
                </pic:pic>
              </a:graphicData>
            </a:graphic>
          </wp:inline>
        </w:drawing>
      </w:r>
    </w:p>
    <w:p w14:paraId="6CA2AF26">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386EFF31">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城市精细化管理工作经费</w:t>
      </w:r>
      <w:r>
        <w:rPr>
          <w:rFonts w:ascii="FangSong_GB2312" w:hAnsi="FangSong_GB2312" w:eastAsia="FangSong_GB2312" w:cs="FangSong_GB2312"/>
          <w:kern w:val="0"/>
          <w:sz w:val="32"/>
          <w:szCs w:val="32"/>
        </w:rPr>
        <w:t>项目为例，该项目绩效评价综合得分为</w:t>
      </w:r>
      <w:r>
        <w:rPr>
          <w:rFonts w:hint="eastAsia" w:ascii="FangSong_GB2312" w:hAnsi="FangSong_GB2312" w:eastAsia="FangSong_GB2312" w:cs="FangSong_GB2312"/>
          <w:kern w:val="0"/>
          <w:sz w:val="32"/>
          <w:szCs w:val="32"/>
          <w:lang w:val="en-US" w:eastAsia="zh-CN"/>
        </w:rPr>
        <w:t>99.96</w:t>
      </w:r>
      <w:r>
        <w:rPr>
          <w:rFonts w:ascii="FangSong_GB2312" w:hAnsi="FangSong_GB2312" w:eastAsia="FangSong_GB2312" w:cs="FangSong_GB2312"/>
          <w:kern w:val="0"/>
          <w:sz w:val="32"/>
          <w:szCs w:val="32"/>
        </w:rPr>
        <w:t>分，绩效评价结果为“优”。部门项目绩效评价得分情况详见部门（单位）具体绩效评价结果。</w:t>
      </w:r>
    </w:p>
    <w:p w14:paraId="4EDC4744">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4310" cy="7185660"/>
            <wp:effectExtent l="0" t="0" r="8890" b="2540"/>
            <wp:docPr id="3" name="图片 3" descr="003e2ddc976b55a9e616768c05620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03e2ddc976b55a9e616768c05620f17"/>
                    <pic:cNvPicPr>
                      <a:picLocks noChangeAspect="1"/>
                    </pic:cNvPicPr>
                  </pic:nvPicPr>
                  <pic:blipFill>
                    <a:blip r:embed="rId13"/>
                    <a:stretch>
                      <a:fillRect/>
                    </a:stretch>
                  </pic:blipFill>
                  <pic:spPr>
                    <a:xfrm>
                      <a:off x="0" y="0"/>
                      <a:ext cx="5274310" cy="7185660"/>
                    </a:xfrm>
                    <a:prstGeom prst="rect">
                      <a:avLst/>
                    </a:prstGeom>
                  </pic:spPr>
                </pic:pic>
              </a:graphicData>
            </a:graphic>
          </wp:inline>
        </w:drawing>
      </w:r>
    </w:p>
    <w:p w14:paraId="3C759E3C">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p>
    <w:p w14:paraId="71E7441E">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3040" cy="7550150"/>
            <wp:effectExtent l="0" t="0" r="10160" b="6350"/>
            <wp:docPr id="4" name="图片 4" descr="106b2a6ada94f1988e6035e7d6b81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06b2a6ada94f1988e6035e7d6b819d3"/>
                    <pic:cNvPicPr>
                      <a:picLocks noChangeAspect="1"/>
                    </pic:cNvPicPr>
                  </pic:nvPicPr>
                  <pic:blipFill>
                    <a:blip r:embed="rId14"/>
                    <a:stretch>
                      <a:fillRect/>
                    </a:stretch>
                  </pic:blipFill>
                  <pic:spPr>
                    <a:xfrm>
                      <a:off x="0" y="0"/>
                      <a:ext cx="5273040" cy="7550150"/>
                    </a:xfrm>
                    <a:prstGeom prst="rect">
                      <a:avLst/>
                    </a:prstGeom>
                  </pic:spPr>
                </pic:pic>
              </a:graphicData>
            </a:graphic>
          </wp:inline>
        </w:drawing>
      </w:r>
    </w:p>
    <w:p w14:paraId="36E62505">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809230"/>
            <wp:effectExtent l="0" t="0" r="12065" b="1270"/>
            <wp:docPr id="5" name="图片 5" descr="7b9e83b2e7a4acf27124392f76d59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b9e83b2e7a4acf27124392f76d59a0a"/>
                    <pic:cNvPicPr>
                      <a:picLocks noChangeAspect="1"/>
                    </pic:cNvPicPr>
                  </pic:nvPicPr>
                  <pic:blipFill>
                    <a:blip r:embed="rId15"/>
                    <a:stretch>
                      <a:fillRect/>
                    </a:stretch>
                  </pic:blipFill>
                  <pic:spPr>
                    <a:xfrm>
                      <a:off x="0" y="0"/>
                      <a:ext cx="5271135" cy="7809230"/>
                    </a:xfrm>
                    <a:prstGeom prst="rect">
                      <a:avLst/>
                    </a:prstGeom>
                  </pic:spPr>
                </pic:pic>
              </a:graphicData>
            </a:graphic>
          </wp:inline>
        </w:drawing>
      </w:r>
    </w:p>
    <w:p w14:paraId="2BA97DE6">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4310" cy="7868920"/>
            <wp:effectExtent l="0" t="0" r="8890" b="5080"/>
            <wp:docPr id="6" name="图片 6" descr="46446ba81af46d9c1042eb74c8ecee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6446ba81af46d9c1042eb74c8ecee8c"/>
                    <pic:cNvPicPr>
                      <a:picLocks noChangeAspect="1"/>
                    </pic:cNvPicPr>
                  </pic:nvPicPr>
                  <pic:blipFill>
                    <a:blip r:embed="rId16"/>
                    <a:stretch>
                      <a:fillRect/>
                    </a:stretch>
                  </pic:blipFill>
                  <pic:spPr>
                    <a:xfrm>
                      <a:off x="0" y="0"/>
                      <a:ext cx="5274310" cy="7868920"/>
                    </a:xfrm>
                    <a:prstGeom prst="rect">
                      <a:avLst/>
                    </a:prstGeom>
                  </pic:spPr>
                </pic:pic>
              </a:graphicData>
            </a:graphic>
          </wp:inline>
        </w:drawing>
      </w:r>
    </w:p>
    <w:p w14:paraId="16DB213F">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69230" cy="7061200"/>
            <wp:effectExtent l="0" t="0" r="1270" b="0"/>
            <wp:docPr id="7" name="图片 7" descr="c1bb5e8d2d481668c00d3f19e28a3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1bb5e8d2d481668c00d3f19e28a3ba3"/>
                    <pic:cNvPicPr>
                      <a:picLocks noChangeAspect="1"/>
                    </pic:cNvPicPr>
                  </pic:nvPicPr>
                  <pic:blipFill>
                    <a:blip r:embed="rId17"/>
                    <a:stretch>
                      <a:fillRect/>
                    </a:stretch>
                  </pic:blipFill>
                  <pic:spPr>
                    <a:xfrm>
                      <a:off x="0" y="0"/>
                      <a:ext cx="5269230" cy="7061200"/>
                    </a:xfrm>
                    <a:prstGeom prst="rect">
                      <a:avLst/>
                    </a:prstGeom>
                  </pic:spPr>
                </pic:pic>
              </a:graphicData>
            </a:graphic>
          </wp:inline>
        </w:drawing>
      </w:r>
    </w:p>
    <w:p w14:paraId="1A0CF78F">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p>
    <w:p w14:paraId="04537BB5">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529830"/>
            <wp:effectExtent l="0" t="0" r="12065" b="1270"/>
            <wp:docPr id="8" name="图片 8" descr="44ebe1391517b14e71ed8319b417f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4ebe1391517b14e71ed8319b417fd3d"/>
                    <pic:cNvPicPr>
                      <a:picLocks noChangeAspect="1"/>
                    </pic:cNvPicPr>
                  </pic:nvPicPr>
                  <pic:blipFill>
                    <a:blip r:embed="rId18"/>
                    <a:stretch>
                      <a:fillRect/>
                    </a:stretch>
                  </pic:blipFill>
                  <pic:spPr>
                    <a:xfrm>
                      <a:off x="0" y="0"/>
                      <a:ext cx="5271135" cy="7529830"/>
                    </a:xfrm>
                    <a:prstGeom prst="rect">
                      <a:avLst/>
                    </a:prstGeom>
                  </pic:spPr>
                </pic:pic>
              </a:graphicData>
            </a:graphic>
          </wp:inline>
        </w:drawing>
      </w:r>
    </w:p>
    <w:p w14:paraId="4FB272C6">
      <w:pPr>
        <w:pStyle w:val="30"/>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677150"/>
            <wp:effectExtent l="0" t="0" r="12065" b="6350"/>
            <wp:docPr id="9" name="图片 9" descr="44d55d067f551029e176c3d20f03d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4d55d067f551029e176c3d20f03da7b"/>
                    <pic:cNvPicPr>
                      <a:picLocks noChangeAspect="1"/>
                    </pic:cNvPicPr>
                  </pic:nvPicPr>
                  <pic:blipFill>
                    <a:blip r:embed="rId19"/>
                    <a:stretch>
                      <a:fillRect/>
                    </a:stretch>
                  </pic:blipFill>
                  <pic:spPr>
                    <a:xfrm>
                      <a:off x="0" y="0"/>
                      <a:ext cx="5271135" cy="7677150"/>
                    </a:xfrm>
                    <a:prstGeom prst="rect">
                      <a:avLst/>
                    </a:prstGeom>
                  </pic:spPr>
                </pic:pic>
              </a:graphicData>
            </a:graphic>
          </wp:inline>
        </w:drawing>
      </w:r>
    </w:p>
    <w:p w14:paraId="2C41BE40">
      <w:pPr>
        <w:pStyle w:val="30"/>
        <w:widowControl/>
        <w:spacing w:before="240" w:after="240"/>
        <w:ind w:firstLine="643"/>
        <w:jc w:val="left"/>
        <w:rPr>
          <w:rFonts w:ascii="楷体" w:hAnsi="楷体" w:eastAsia="楷体" w:cs="楷体"/>
          <w:b/>
          <w:bCs/>
          <w:kern w:val="0"/>
          <w:sz w:val="32"/>
          <w:szCs w:val="32"/>
        </w:rPr>
      </w:pPr>
    </w:p>
    <w:p w14:paraId="58C1DF4D">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w:t>
      </w:r>
      <w:bookmarkStart w:id="3" w:name="OLE_LINK1"/>
      <w:r>
        <w:rPr>
          <w:rFonts w:ascii="楷体" w:hAnsi="楷体" w:eastAsia="楷体" w:cs="楷体"/>
          <w:b/>
          <w:bCs/>
          <w:kern w:val="0"/>
          <w:sz w:val="32"/>
          <w:szCs w:val="32"/>
        </w:rPr>
        <w:t>部门（单位）预算绩效管理制度和核心绩效指标标准体系建设情况</w:t>
      </w:r>
      <w:bookmarkEnd w:id="3"/>
      <w:r>
        <w:rPr>
          <w:rFonts w:ascii="楷体" w:hAnsi="楷体" w:eastAsia="楷体" w:cs="楷体"/>
          <w:b/>
          <w:bCs/>
          <w:kern w:val="0"/>
          <w:sz w:val="32"/>
          <w:szCs w:val="32"/>
        </w:rPr>
        <w:t>。</w:t>
      </w:r>
    </w:p>
    <w:p w14:paraId="2590A7E8">
      <w:pPr>
        <w:widowControl/>
        <w:spacing w:before="240" w:after="24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为落实全面实施预算绩效管理工作要求，市住建局结合住房保障、城市更新、市政建设、工程监管等职能，持续完善预算绩效管理制度，构建住建行业核心绩效指标标准体系，形成全链条绩效管理闭环，推动资金管理由重投入向重效益转变。</w:t>
      </w:r>
    </w:p>
    <w:p w14:paraId="0B40B5E7">
      <w:pPr>
        <w:widowControl/>
        <w:numPr>
          <w:ilvl w:val="0"/>
          <w:numId w:val="0"/>
        </w:numPr>
        <w:spacing w:before="240" w:after="240"/>
        <w:jc w:val="left"/>
        <w:rPr>
          <w:rFonts w:hint="eastAsia" w:ascii="FangSong_GB2312" w:hAnsi="FangSong_GB2312" w:eastAsia="FangSong_GB2312" w:cs="FangSong_GB2312"/>
          <w:color w:val="auto"/>
          <w:kern w:val="0"/>
          <w:sz w:val="32"/>
          <w:szCs w:val="32"/>
          <w:lang w:eastAsia="zh-CN"/>
        </w:rPr>
      </w:pPr>
      <w:r>
        <w:rPr>
          <w:rFonts w:hint="eastAsia" w:ascii="FangSong_GB2312" w:hAnsi="FangSong_GB2312" w:eastAsia="FangSong_GB2312" w:cs="FangSong_GB2312"/>
          <w:color w:val="auto"/>
          <w:kern w:val="0"/>
          <w:sz w:val="32"/>
          <w:szCs w:val="32"/>
          <w:lang w:val="en-US" w:eastAsia="zh-CN"/>
        </w:rPr>
        <w:t xml:space="preserve">   （1）</w:t>
      </w:r>
      <w:r>
        <w:rPr>
          <w:rFonts w:hint="eastAsia" w:ascii="FangSong_GB2312" w:hAnsi="FangSong_GB2312" w:eastAsia="FangSong_GB2312" w:cs="FangSong_GB2312"/>
          <w:color w:val="auto"/>
          <w:kern w:val="0"/>
          <w:sz w:val="32"/>
          <w:szCs w:val="32"/>
        </w:rPr>
        <w:t>预算绩效管理制度体系建设情况</w:t>
      </w:r>
      <w:r>
        <w:rPr>
          <w:rFonts w:hint="eastAsia" w:ascii="FangSong_GB2312" w:hAnsi="FangSong_GB2312" w:eastAsia="FangSong_GB2312" w:cs="FangSong_GB2312"/>
          <w:color w:val="auto"/>
          <w:kern w:val="0"/>
          <w:sz w:val="32"/>
          <w:szCs w:val="32"/>
          <w:lang w:eastAsia="zh-CN"/>
        </w:rPr>
        <w:t>。</w:t>
      </w:r>
    </w:p>
    <w:p w14:paraId="74F95954">
      <w:pPr>
        <w:widowControl/>
        <w:numPr>
          <w:ilvl w:val="0"/>
          <w:numId w:val="0"/>
        </w:numPr>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坚持制度先行，对照上级预算绩效管理相关规定，结合住建项目多、民生属性强的特点，建立覆盖部门整体支出、项目支出的制度框架。</w:t>
      </w:r>
    </w:p>
    <w:p w14:paraId="72A2652F">
      <w:pPr>
        <w:widowControl/>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一是健全全流程管理机制。落实事前绩效评估、绩效目标编报、事中运行监控、事后绩效评价、结果应用闭环管理。新增重大项目开展事前评估，作为预算申报前置条件；所有预算项目同步编制绩效目标；定期开展绩效监控，对目标偏差项目及时预警整改；年末开展绩效自评，大额民生项目实施重点评价。将绩效评价结果与下一年度预算安排挂钩，低效项目压减或取消资金。</w:t>
      </w:r>
    </w:p>
    <w:p w14:paraId="6E5C8101">
      <w:pPr>
        <w:widowControl/>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二是压实绩效管理责任。成立绩效管理工作专班，明确财务科室牵头、业务科室分工、项目负责人主责的三级责任体系，将绩效工作纳入科室年度考核。常态化开展业务培训，提升业务人员绩效实操能力。</w:t>
      </w:r>
    </w:p>
    <w:p w14:paraId="66F78522">
      <w:pPr>
        <w:widowControl/>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lang w:val="en-US" w:eastAsia="zh-CN"/>
        </w:rPr>
        <w:t>(2)</w:t>
      </w:r>
      <w:r>
        <w:rPr>
          <w:rFonts w:hint="eastAsia" w:ascii="FangSong_GB2312" w:hAnsi="FangSong_GB2312" w:eastAsia="FangSong_GB2312" w:cs="FangSong_GB2312"/>
          <w:color w:val="auto"/>
          <w:kern w:val="0"/>
          <w:sz w:val="32"/>
          <w:szCs w:val="32"/>
        </w:rPr>
        <w:t>核心绩效指标标准体系建设情况</w:t>
      </w:r>
    </w:p>
    <w:p w14:paraId="592FC17F">
      <w:pPr>
        <w:widowControl/>
        <w:numPr>
          <w:ilvl w:val="0"/>
          <w:numId w:val="0"/>
        </w:numPr>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按照 “共性统一、个性适配、量化可核” 原则，搭建住建领域绩效指标标准体系和指标库。</w:t>
      </w:r>
    </w:p>
    <w:p w14:paraId="610F901E">
      <w:pPr>
        <w:widowControl/>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一是统一指标框架。构建决策、过程、产出、效益四大一级指标，细化二级、三级指标及量化评分标准，统一指标释义、统计口径、数据来源，保障评价客观可比。</w:t>
      </w:r>
    </w:p>
    <w:p w14:paraId="077D3AB0">
      <w:pPr>
        <w:widowControl/>
        <w:spacing w:before="240" w:after="240"/>
        <w:ind w:firstLine="640" w:firstLineChars="200"/>
        <w:jc w:val="left"/>
        <w:rPr>
          <w:rFonts w:hint="eastAsia"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rPr>
        <w:t>二是分类建立行业指标库。区分部门整体支出和专项项目支出两类指标：整体支出重点考核预算执行率、重点工作完成率、行业监管覆盖率、群众满意度；项目支出按业务板块分类设置指标：住房保障类重点考核保障房建设、补贴发放、危房改造成效；城市建设类聚焦老旧小区改造、工程质量合格率；行业监管类包含监督检查覆盖率、问题整改闭环率、安全生产管控成效；民生服务类侧重诉求办结时效、群众满意度。</w:t>
      </w:r>
    </w:p>
    <w:p w14:paraId="0464C448">
      <w:pPr>
        <w:widowControl/>
        <w:spacing w:before="240" w:after="240"/>
        <w:ind w:firstLine="640" w:firstLineChars="200"/>
        <w:jc w:val="left"/>
        <w:rPr>
          <w:rFonts w:hint="eastAsia" w:ascii="FangSong_GB2312" w:hAnsi="FangSong_GB2312" w:eastAsia="FangSong_GB2312" w:cs="FangSong_GB2312"/>
          <w:color w:val="auto"/>
          <w:kern w:val="0"/>
          <w:sz w:val="32"/>
          <w:szCs w:val="32"/>
          <w:lang w:eastAsia="zh-CN"/>
        </w:rPr>
      </w:pPr>
      <w:r>
        <w:rPr>
          <w:rFonts w:hint="eastAsia" w:ascii="FangSong_GB2312" w:hAnsi="FangSong_GB2312" w:eastAsia="FangSong_GB2312" w:cs="FangSong_GB2312"/>
          <w:color w:val="auto"/>
          <w:kern w:val="0"/>
          <w:sz w:val="32"/>
          <w:szCs w:val="32"/>
        </w:rPr>
        <w:t>三是实施动态更新。根据上级政策调整和年度住建重点任务，每年修订完善指标库，新增城市更新、绿色建筑、智慧住建等新兴业务指标，淘汰过时指标，持续提升指标适配性</w:t>
      </w:r>
      <w:r>
        <w:rPr>
          <w:rFonts w:hint="eastAsia" w:ascii="FangSong_GB2312" w:hAnsi="FangSong_GB2312" w:eastAsia="FangSong_GB2312" w:cs="FangSong_GB2312"/>
          <w:color w:val="auto"/>
          <w:kern w:val="0"/>
          <w:sz w:val="32"/>
          <w:szCs w:val="32"/>
          <w:lang w:eastAsia="zh-CN"/>
        </w:rPr>
        <w:t>。</w:t>
      </w:r>
    </w:p>
    <w:p w14:paraId="1A9F76E7">
      <w:pPr>
        <w:widowControl/>
        <w:spacing w:before="240" w:after="240"/>
        <w:ind w:firstLine="640" w:firstLineChars="20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(3)工作成效与下一步计划</w:t>
      </w:r>
    </w:p>
    <w:p w14:paraId="01F00491">
      <w:pPr>
        <w:widowControl/>
        <w:spacing w:before="240" w:after="240"/>
        <w:ind w:firstLine="640" w:firstLineChars="20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通过制度和指标体系建设，部门预算编制更加科学，资金闲置、低效使用问题得到有效遏制，民生项目实施质效持续提升，绩效理念贯穿资金使用全过程。</w:t>
      </w:r>
    </w:p>
    <w:p w14:paraId="13D707BD">
      <w:pPr>
        <w:widowControl/>
        <w:spacing w:before="240" w:after="240"/>
        <w:ind w:firstLine="640" w:firstLineChars="200"/>
        <w:jc w:val="left"/>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下一步，市住建局将持续深化预算绩效管理：一是细化操作细则，提升制度落地能力；二是迭代完善住建特色绩效指标，进一步强化指标量化水平；三是抓实绩效全流程管控，健全问题整改闭环；四是深化绩效结果运用，强化绩效与预算、考核联动，不断提升住建领域财政资金使用效益。</w:t>
      </w:r>
    </w:p>
    <w:p w14:paraId="37D55FD8">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70C61C6B">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6B9C60EB">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52497E0D">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56B640A4">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F954279">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216091C8">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4109E5E2">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0399726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34B3BFDE">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6755A885">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5F2394E6">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42F4C2A7">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11ACC7B9">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4E80C5D5">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4989431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78E8D2F7">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7D1D0CAD">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575F63AD">
      <w:pPr>
        <w:widowControl/>
        <w:spacing w:before="240" w:after="240"/>
        <w:jc w:val="left"/>
        <w:rPr>
          <w:rFonts w:ascii="Times New Roman" w:hAnsi="Times New Roman" w:eastAsia="Times New Roman" w:cs="Times New Roman"/>
          <w:kern w:val="0"/>
          <w:sz w:val="24"/>
        </w:rPr>
      </w:pPr>
    </w:p>
    <w:p w14:paraId="099D838B">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1614B38C">
      <w:pPr>
        <w:widowControl/>
        <w:spacing w:before="240" w:after="240"/>
        <w:jc w:val="left"/>
        <w:rPr>
          <w:rFonts w:ascii="Times New Roman" w:hAnsi="Times New Roman" w:eastAsia="Times New Roman" w:cs="Times New Roman"/>
          <w:kern w:val="0"/>
          <w:sz w:val="24"/>
        </w:rPr>
      </w:pPr>
    </w:p>
    <w:p w14:paraId="7D1B7E3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14:paraId="1CAA553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李桃</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0478-8738655</w:t>
      </w:r>
    </w:p>
    <w:p w14:paraId="065823C8">
      <w:pPr>
        <w:widowControl/>
        <w:spacing w:before="240" w:after="240"/>
        <w:jc w:val="left"/>
        <w:rPr>
          <w:rFonts w:ascii="Times New Roman" w:hAnsi="Times New Roman" w:eastAsia="Times New Roman" w:cs="Times New Roman"/>
          <w:kern w:val="0"/>
          <w:sz w:val="24"/>
        </w:rPr>
      </w:pPr>
    </w:p>
    <w:p w14:paraId="17FE5C5F">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5B02E313">
      <w:pPr>
        <w:pStyle w:val="30"/>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4D5087A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51231234">
      <w:pPr>
        <w:adjustRightInd w:val="0"/>
        <w:snapToGrid w:val="0"/>
        <w:rPr>
          <w:rFonts w:ascii="宋体" w:hAnsi="宋体"/>
          <w:b/>
          <w:sz w:val="32"/>
          <w:szCs w:val="32"/>
        </w:rPr>
      </w:pPr>
    </w:p>
    <w:p w14:paraId="01812393">
      <w:pPr>
        <w:adjustRightInd w:val="0"/>
        <w:snapToGrid w:val="0"/>
        <w:rPr>
          <w:rFonts w:ascii="宋体" w:hAnsi="宋体"/>
          <w:b/>
          <w:sz w:val="32"/>
          <w:szCs w:val="32"/>
        </w:rPr>
      </w:pPr>
    </w:p>
    <w:p w14:paraId="4B3B77F8">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_new_roman">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 w:name="fang_zheng_xiao_biao_song_ti">
    <w:altName w:val="汉仪旗黑-55"/>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4AAE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B1E7">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ABB10"/>
    <w:multiLevelType w:val="singleLevel"/>
    <w:tmpl w:val="B38ABB10"/>
    <w:lvl w:ilvl="0" w:tentative="0">
      <w:start w:val="1"/>
      <w:numFmt w:val="decimal"/>
      <w:lvlText w:val="%1."/>
      <w:lvlJc w:val="left"/>
      <w:pPr>
        <w:tabs>
          <w:tab w:val="left" w:pos="312"/>
        </w:tabs>
      </w:pPr>
    </w:lvl>
  </w:abstractNum>
  <w:abstractNum w:abstractNumId="1">
    <w:nsid w:val="B6E1978E"/>
    <w:multiLevelType w:val="singleLevel"/>
    <w:tmpl w:val="B6E1978E"/>
    <w:lvl w:ilvl="0" w:tentative="0">
      <w:start w:val="1"/>
      <w:numFmt w:val="chineseCounting"/>
      <w:suff w:val="nothing"/>
      <w:lvlText w:val="%1、"/>
      <w:lvlJc w:val="left"/>
      <w:rPr>
        <w:rFonts w:hint="eastAsia"/>
      </w:rPr>
    </w:lvl>
  </w:abstractNum>
  <w:abstractNum w:abstractNumId="2">
    <w:nsid w:val="EAA572EE"/>
    <w:multiLevelType w:val="singleLevel"/>
    <w:tmpl w:val="EAA572EE"/>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DA6A29"/>
    <w:rsid w:val="149F77B8"/>
    <w:rsid w:val="20156040"/>
    <w:rsid w:val="2B3E059F"/>
    <w:rsid w:val="34F6700B"/>
    <w:rsid w:val="37BF028D"/>
    <w:rsid w:val="392340DC"/>
    <w:rsid w:val="577C7D42"/>
    <w:rsid w:val="63A67B02"/>
    <w:rsid w:val="71280B9E"/>
    <w:rsid w:val="75D902DB"/>
    <w:rsid w:val="F6DECB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29"/>
    <w:qFormat/>
    <w:uiPriority w:val="0"/>
    <w:pPr>
      <w:keepNext/>
      <w:keepLines/>
      <w:spacing w:before="260" w:after="260" w:line="416" w:lineRule="auto"/>
      <w:outlineLvl w:val="2"/>
    </w:pPr>
    <w:rPr>
      <w:b/>
      <w:bCs/>
      <w:sz w:val="32"/>
      <w:szCs w:val="32"/>
    </w:rPr>
  </w:style>
  <w:style w:type="paragraph" w:styleId="7">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semiHidden/>
    <w:unhideWhenUsed/>
    <w:qFormat/>
    <w:uiPriority w:val="0"/>
    <w:pPr>
      <w:ind w:firstLine="420" w:firstLineChars="200"/>
    </w:pPr>
  </w:style>
  <w:style w:type="paragraph" w:styleId="3">
    <w:name w:val="Body Text Indent"/>
    <w:basedOn w:val="1"/>
    <w:semiHidden/>
    <w:unhideWhenUsed/>
    <w:qFormat/>
    <w:uiPriority w:val="0"/>
    <w:pPr>
      <w:spacing w:after="120" w:afterLines="0" w:afterAutospacing="0"/>
      <w:ind w:left="420" w:leftChars="200"/>
    </w:pPr>
  </w:style>
  <w:style w:type="paragraph" w:styleId="8">
    <w:name w:val="toc 7"/>
    <w:basedOn w:val="1"/>
    <w:next w:val="1"/>
    <w:qFormat/>
    <w:uiPriority w:val="0"/>
    <w:pPr>
      <w:ind w:left="1260"/>
      <w:jc w:val="left"/>
    </w:pPr>
    <w:rPr>
      <w:sz w:val="20"/>
      <w:szCs w:val="20"/>
    </w:rPr>
  </w:style>
  <w:style w:type="paragraph" w:styleId="9">
    <w:name w:val="Document Map"/>
    <w:basedOn w:val="1"/>
    <w:qFormat/>
    <w:uiPriority w:val="0"/>
    <w:pPr>
      <w:shd w:val="clear" w:color="auto" w:fill="000080"/>
    </w:p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7"/>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customStyle="1" w:styleId="24">
    <w:name w:val="标题 4 Char"/>
    <w:basedOn w:val="21"/>
    <w:link w:val="7"/>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Char"/>
    <w:link w:val="25"/>
    <w:qFormat/>
    <w:locked/>
    <w:uiPriority w:val="0"/>
    <w:rPr>
      <w:rFonts w:eastAsia="仿宋_GB2312"/>
      <w:sz w:val="30"/>
      <w:szCs w:val="22"/>
      <w:lang w:bidi="ar-SA"/>
    </w:rPr>
  </w:style>
  <w:style w:type="character" w:customStyle="1" w:styleId="27">
    <w:name w:val="页脚 Char"/>
    <w:basedOn w:val="21"/>
    <w:link w:val="13"/>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Char"/>
    <w:basedOn w:val="21"/>
    <w:link w:val="6"/>
    <w:qFormat/>
    <w:uiPriority w:val="0"/>
    <w:rPr>
      <w:b/>
      <w:bCs/>
      <w:kern w:val="2"/>
      <w:sz w:val="32"/>
      <w:szCs w:val="32"/>
    </w:rPr>
  </w:style>
  <w:style w:type="paragraph" w:customStyle="1" w:styleId="30">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wetp="http://schemas.microsoft.com/office/webextensions/taskpanes/2010/11" xmlns:a="http://schemas.openxmlformats.org/drawingml/2006/main" xmlns:odq="http://opendope.org/questions" xmlns:c="http://schemas.openxmlformats.org/drawingml/2006/chart" xmlns:lc="http://schemas.openxmlformats.org/drawingml/2006/lockedCanvas" xmlns:pvml="urn:schemas-microsoft-com:office:powerpoint" xmlns:xdr="http://schemas.openxmlformats.org/drawingml/2006/spreadsheetDrawing" xmlns:odx="http://opendope.org/xpaths" xmlns:cppr="http://schemas.microsoft.com/office/2006/coverPageProps" xmlns:dsp="http://schemas.microsoft.com/office/drawing/2008/diagram" xmlns:we="http://schemas.microsoft.com/office/webextensions/webextension/2010/11" xmlns:m="http://schemas.openxmlformats.org/officeDocument/2006/math" xmlns:xvml="urn:schemas-microsoft-com:office:excel" xmlns:w10="urn:schemas-microsoft-com:office:word" xmlns:wne="http://schemas.microsoft.com/office/word/2006/wordml" xmlns:o="urn:schemas-microsoft-com:office:office" xmlns:w14="http://schemas.microsoft.com/office/word/2010/wordml" xmlns:w15="http://schemas.microsoft.com/office/word/2012/wordml" xmlns:r="http://schemas.openxmlformats.org/officeDocument/2006/relationships" xmlns:wp="http://schemas.openxmlformats.org/drawingml/2006/wordprocessingDrawing" xmlns:v="urn:schemas-microsoft-com:vml" xmlns:wps="http://schemas.microsoft.com/office/word/2010/wordprocessingShape" xmlns:w="http://schemas.openxmlformats.org/wordprocessingml/2006/main" xmlns:comp="http://schemas.openxmlformats.org/drawingml/2006/compatibility" xmlns:c14="http://schemas.microsoft.com/office/drawing/2007/8/2/chart" xmlns:sl="http://schemas.openxmlformats.org/schemaLibrary/2006/main" xmlns:pic="http://schemas.openxmlformats.org/drawingml/2006/picture" xmlns:odgm="http://opendope.org/SmartArt/DataHierarchy" xmlns:mc="http://schemas.openxmlformats.org/markup-compatibility/2006" xmlns:dgm="http://schemas.openxmlformats.org/drawingml/2006/diagram" xmlns:w16cid="http://schemas.microsoft.com/office/word/2016/wordml/cid" xmlns:w16se="http://schemas.microsoft.com/office/word/2015/wordml/symex" xmlns:oda="http://opendope.org/answers" xmlns:odc="http://opendope.org/conditions" xmlns:wp14="http://schemas.microsoft.com/office/word/2010/wordprocessingDrawing" xmlns:odi="http://opendope.org/components" xmlns:cdr="http://schemas.openxmlformats.org/drawingml/2006/chartDrawing"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51</Pages>
  <Words>7</Words>
  <Characters>40</Characters>
  <Lines>1</Lines>
  <Paragraphs>1</Paragraphs>
  <TotalTime>19</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2022-03-23T20:40:00Z</dcterms:created>
  <dc:creator>Administrator</dc:creator>
  <cp:lastModifiedBy>user</cp:lastModifiedBy>
  <cp:lastPrinted>2021-04-16T08:45:00Z</cp:lastPrinted>
  <dcterms:modified xsi:type="dcterms:W3CDTF">2026-09-16T10:35:16Z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15EBE3CE313845B06400AA6ACED8D7A7_43</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