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736BD">
      <w:pPr>
        <w:spacing w:line="360" w:lineRule="auto"/>
        <w:jc w:val="center"/>
        <w:rPr>
          <w:rFonts w:ascii="宋体" w:hAnsi="宋体"/>
          <w:color w:val="000000" w:themeColor="text1"/>
          <w:sz w:val="24"/>
          <w:u w:val="none" w:color="auto"/>
          <w14:textFill>
            <w14:solidFill>
              <w14:schemeClr w14:val="tx1"/>
            </w14:solidFill>
          </w14:textFill>
        </w:rPr>
      </w:pPr>
    </w:p>
    <w:p w14:paraId="0C323B79">
      <w:pPr>
        <w:spacing w:line="360" w:lineRule="auto"/>
        <w:jc w:val="center"/>
        <w:rPr>
          <w:rFonts w:ascii="宋体" w:hAnsi="宋体"/>
          <w:color w:val="000000" w:themeColor="text1"/>
          <w:sz w:val="24"/>
          <w:u w:val="none" w:color="auto"/>
          <w14:textFill>
            <w14:solidFill>
              <w14:schemeClr w14:val="tx1"/>
            </w14:solidFill>
          </w14:textFill>
        </w:rPr>
      </w:pPr>
    </w:p>
    <w:p w14:paraId="3558245F">
      <w:pPr>
        <w:spacing w:line="360" w:lineRule="auto"/>
        <w:jc w:val="center"/>
        <w:rPr>
          <w:rFonts w:ascii="宋体" w:hAnsi="宋体"/>
          <w:color w:val="000000" w:themeColor="text1"/>
          <w:sz w:val="24"/>
          <w:u w:val="none" w:color="auto"/>
          <w14:textFill>
            <w14:solidFill>
              <w14:schemeClr w14:val="tx1"/>
            </w14:solidFill>
          </w14:textFill>
        </w:rPr>
      </w:pPr>
    </w:p>
    <w:p w14:paraId="6C3FCDE5">
      <w:pPr>
        <w:spacing w:line="360" w:lineRule="auto"/>
        <w:jc w:val="center"/>
        <w:rPr>
          <w:rFonts w:ascii="宋体" w:hAnsi="宋体"/>
          <w:color w:val="000000" w:themeColor="text1"/>
          <w:sz w:val="24"/>
          <w:u w:val="none" w:color="auto"/>
          <w14:textFill>
            <w14:solidFill>
              <w14:schemeClr w14:val="tx1"/>
            </w14:solidFill>
          </w14:textFill>
        </w:rPr>
      </w:pPr>
    </w:p>
    <w:p w14:paraId="78432FE0">
      <w:pPr>
        <w:spacing w:line="360" w:lineRule="auto"/>
        <w:jc w:val="center"/>
        <w:rPr>
          <w:rFonts w:ascii="宋体" w:hAnsi="宋体"/>
          <w:b/>
          <w:bCs/>
          <w:color w:val="000000" w:themeColor="text1"/>
          <w:sz w:val="52"/>
          <w:szCs w:val="52"/>
          <w:u w:val="none" w:color="auto"/>
          <w14:textFill>
            <w14:solidFill>
              <w14:schemeClr w14:val="tx1"/>
            </w14:solidFill>
          </w14:textFill>
        </w:rPr>
      </w:pPr>
      <w:r>
        <w:rPr>
          <w:rFonts w:ascii="宋体" w:hAnsi="宋体"/>
          <w:b/>
          <w:bCs/>
          <w:color w:val="000000" w:themeColor="text1"/>
          <w:sz w:val="52"/>
          <w:szCs w:val="52"/>
          <w:u w:val="none" w:color="auto"/>
          <w14:textFill>
            <w14:solidFill>
              <w14:schemeClr w14:val="tx1"/>
            </w14:solidFill>
          </w14:textFill>
        </w:rPr>
        <w:t>2025</w:t>
      </w:r>
      <w:r>
        <w:rPr>
          <w:rFonts w:hint="eastAsia" w:ascii="宋体" w:hAnsi="宋体"/>
          <w:b/>
          <w:bCs/>
          <w:color w:val="000000" w:themeColor="text1"/>
          <w:sz w:val="52"/>
          <w:szCs w:val="52"/>
          <w:u w:val="none" w:color="auto"/>
          <w14:textFill>
            <w14:solidFill>
              <w14:schemeClr w14:val="tx1"/>
            </w14:solidFill>
          </w14:textFill>
        </w:rPr>
        <w:t>年度内蒙古自治区巴彦淖尔市城市新区发展中心</w:t>
      </w:r>
    </w:p>
    <w:p w14:paraId="76376F54">
      <w:pPr>
        <w:spacing w:line="360" w:lineRule="auto"/>
        <w:jc w:val="center"/>
        <w:rPr>
          <w:rFonts w:ascii="宋体" w:hAnsi="宋体"/>
          <w:b/>
          <w:bCs/>
          <w:color w:val="000000" w:themeColor="text1"/>
          <w:sz w:val="52"/>
          <w:szCs w:val="52"/>
          <w:u w:val="none" w:color="auto"/>
          <w14:textFill>
            <w14:solidFill>
              <w14:schemeClr w14:val="tx1"/>
            </w14:solidFill>
          </w14:textFill>
        </w:rPr>
      </w:pPr>
      <w:r>
        <w:rPr>
          <w:rFonts w:hint="eastAsia" w:ascii="宋体" w:hAnsi="宋体"/>
          <w:b/>
          <w:bCs/>
          <w:color w:val="000000" w:themeColor="text1"/>
          <w:sz w:val="52"/>
          <w:szCs w:val="52"/>
          <w:u w:val="none" w:color="auto"/>
          <w14:textFill>
            <w14:solidFill>
              <w14:schemeClr w14:val="tx1"/>
            </w14:solidFill>
          </w14:textFill>
        </w:rPr>
        <w:t>公开报告</w:t>
      </w:r>
    </w:p>
    <w:p w14:paraId="7F322849">
      <w:pPr>
        <w:spacing w:line="360" w:lineRule="auto"/>
        <w:jc w:val="center"/>
        <w:rPr>
          <w:rFonts w:ascii="宋体" w:hAnsi="宋体"/>
          <w:b/>
          <w:bCs/>
          <w:color w:val="000000" w:themeColor="text1"/>
          <w:sz w:val="52"/>
          <w:szCs w:val="52"/>
          <w:u w:val="none" w:color="auto"/>
          <w14:textFill>
            <w14:solidFill>
              <w14:schemeClr w14:val="tx1"/>
            </w14:solidFill>
          </w14:textFill>
        </w:rPr>
      </w:pPr>
    </w:p>
    <w:p w14:paraId="186594CB">
      <w:pPr>
        <w:spacing w:line="360" w:lineRule="auto"/>
        <w:jc w:val="center"/>
        <w:rPr>
          <w:rFonts w:ascii="宋体" w:hAnsi="宋体"/>
          <w:b/>
          <w:bCs/>
          <w:color w:val="000000" w:themeColor="text1"/>
          <w:sz w:val="52"/>
          <w:szCs w:val="52"/>
          <w:u w:val="none" w:color="auto"/>
          <w14:textFill>
            <w14:solidFill>
              <w14:schemeClr w14:val="tx1"/>
            </w14:solidFill>
          </w14:textFill>
        </w:rPr>
      </w:pPr>
    </w:p>
    <w:p w14:paraId="22CE8391">
      <w:pPr>
        <w:spacing w:line="360" w:lineRule="auto"/>
        <w:jc w:val="center"/>
        <w:rPr>
          <w:rFonts w:ascii="宋体" w:hAnsi="宋体"/>
          <w:b/>
          <w:bCs/>
          <w:color w:val="000000" w:themeColor="text1"/>
          <w:sz w:val="52"/>
          <w:szCs w:val="52"/>
          <w:u w:val="none" w:color="auto"/>
          <w14:textFill>
            <w14:solidFill>
              <w14:schemeClr w14:val="tx1"/>
            </w14:solidFill>
          </w14:textFill>
        </w:rPr>
      </w:pPr>
    </w:p>
    <w:p w14:paraId="799FD5C3">
      <w:pPr>
        <w:spacing w:line="360" w:lineRule="auto"/>
        <w:jc w:val="center"/>
        <w:rPr>
          <w:rFonts w:ascii="宋体" w:hAnsi="宋体"/>
          <w:b/>
          <w:bCs/>
          <w:color w:val="000000" w:themeColor="text1"/>
          <w:sz w:val="52"/>
          <w:szCs w:val="52"/>
          <w:u w:val="none" w:color="auto"/>
          <w14:textFill>
            <w14:solidFill>
              <w14:schemeClr w14:val="tx1"/>
            </w14:solidFill>
          </w14:textFill>
        </w:rPr>
      </w:pPr>
    </w:p>
    <w:p w14:paraId="492962EA">
      <w:pPr>
        <w:spacing w:line="360" w:lineRule="auto"/>
        <w:jc w:val="center"/>
        <w:rPr>
          <w:rFonts w:ascii="宋体" w:hAnsi="宋体"/>
          <w:b/>
          <w:bCs/>
          <w:color w:val="000000" w:themeColor="text1"/>
          <w:sz w:val="52"/>
          <w:szCs w:val="52"/>
          <w:u w:val="none" w:color="auto"/>
          <w14:textFill>
            <w14:solidFill>
              <w14:schemeClr w14:val="tx1"/>
            </w14:solidFill>
          </w14:textFill>
        </w:rPr>
      </w:pPr>
    </w:p>
    <w:p w14:paraId="0D93D3E4">
      <w:pPr>
        <w:ind w:firstLine="2241" w:firstLineChars="700"/>
        <w:rPr>
          <w:rFonts w:ascii="仿宋" w:hAnsi="仿宋" w:eastAsia="仿宋"/>
          <w:b/>
          <w:color w:val="000000" w:themeColor="text1"/>
          <w:sz w:val="32"/>
          <w:szCs w:val="32"/>
          <w:u w:val="none" w:color="auto"/>
          <w14:textFill>
            <w14:solidFill>
              <w14:schemeClr w14:val="tx1"/>
            </w14:solidFill>
          </w14:textFill>
        </w:rPr>
        <w:sectPr>
          <w:footerReference r:id="rId3" w:type="default"/>
          <w:pgSz w:w="11906" w:h="16838"/>
          <w:pgMar w:top="1440" w:right="1800" w:bottom="1440" w:left="1800" w:header="0" w:footer="720" w:gutter="0"/>
          <w:cols w:space="425" w:num="1"/>
          <w:docGrid w:type="lines" w:linePitch="312" w:charSpace="0"/>
        </w:sectPr>
      </w:pPr>
    </w:p>
    <w:p w14:paraId="74C43062">
      <w:pPr>
        <w:pStyle w:val="29"/>
        <w:widowControl/>
        <w:spacing w:after="240"/>
        <w:jc w:val="center"/>
        <w:rPr>
          <w:rFonts w:ascii="Times New Roman" w:hAnsi="Times New Roman" w:eastAsia="Times New Roman" w:cs="Times New Roman"/>
          <w:color w:val="000000" w:themeColor="text1"/>
          <w:kern w:val="0"/>
          <w:sz w:val="24"/>
          <w:u w:val="none" w:color="auto"/>
          <w14:textFill>
            <w14:solidFill>
              <w14:schemeClr w14:val="tx1"/>
            </w14:solidFill>
          </w14:textFill>
        </w:rPr>
      </w:pPr>
      <w:bookmarkStart w:id="0" w:name="a000"/>
      <w:r>
        <w:rPr>
          <w:rFonts w:ascii="仿宋" w:hAnsi="仿宋" w:eastAsia="仿宋" w:cs="仿宋"/>
          <w:b/>
          <w:bCs/>
          <w:color w:val="000000" w:themeColor="text1"/>
          <w:kern w:val="0"/>
          <w:sz w:val="48"/>
          <w:szCs w:val="48"/>
          <w:u w:val="none" w:color="auto"/>
          <w14:textFill>
            <w14:solidFill>
              <w14:schemeClr w14:val="tx1"/>
            </w14:solidFill>
          </w14:textFill>
        </w:rPr>
        <w:t>目录</w:t>
      </w:r>
    </w:p>
    <w:p w14:paraId="0D181898">
      <w:pPr>
        <w:widowControl/>
        <w:spacing w:before="240" w:after="2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Times New Roman" w:hAnsi="Times New Roman" w:eastAsia="Times New Roman" w:cs="Times New Roman"/>
          <w:b/>
          <w:bCs/>
          <w:color w:val="000000" w:themeColor="text1"/>
          <w:kern w:val="0"/>
          <w:sz w:val="24"/>
          <w:u w:val="none" w:color="auto"/>
          <w14:textFill>
            <w14:solidFill>
              <w14:schemeClr w14:val="tx1"/>
            </w14:solidFill>
          </w14:textFill>
        </w:rPr>
        <w:t> </w:t>
      </w:r>
    </w:p>
    <w:p w14:paraId="5338DE7B">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color w:val="000000" w:themeColor="text1"/>
          <w:kern w:val="0"/>
          <w:sz w:val="32"/>
          <w:szCs w:val="32"/>
          <w:u w:val="none" w:color="auto"/>
          <w14:textFill>
            <w14:solidFill>
              <w14:schemeClr w14:val="tx1"/>
            </w14:solidFill>
          </w14:textFill>
        </w:rPr>
        <w:t>第一部分</w:t>
      </w:r>
      <w:r>
        <w:rPr>
          <w:rFonts w:ascii="Calibri" w:hAnsi="Calibri" w:eastAsia="Calibri" w:cs="Calibri"/>
          <w:color w:val="000000" w:themeColor="text1"/>
          <w:kern w:val="0"/>
          <w:sz w:val="32"/>
          <w:szCs w:val="32"/>
          <w:u w:val="none" w:color="auto"/>
          <w:lang w:eastAsia="en-US"/>
          <w14:textFill>
            <w14:solidFill>
              <w14:schemeClr w14:val="tx1"/>
            </w14:solidFill>
          </w14:textFill>
        </w:rPr>
        <w:t> </w:t>
      </w:r>
      <w:r>
        <w:rPr>
          <w:rFonts w:ascii="黑体" w:hAnsi="黑体" w:eastAsia="黑体" w:cs="黑体"/>
          <w:color w:val="000000" w:themeColor="text1"/>
          <w:kern w:val="0"/>
          <w:sz w:val="32"/>
          <w:szCs w:val="32"/>
          <w:u w:val="none" w:color="auto"/>
          <w:lang w:eastAsia="en-US"/>
          <w14:textFill>
            <w14:solidFill>
              <w14:schemeClr w14:val="tx1"/>
            </w14:solidFill>
          </w14:textFill>
        </w:rPr>
        <w:t xml:space="preserve"> </w:t>
      </w:r>
      <w:r>
        <w:rPr>
          <w:rFonts w:ascii="黑体" w:hAnsi="黑体" w:eastAsia="黑体" w:cs="黑体"/>
          <w:color w:val="000000" w:themeColor="text1"/>
          <w:kern w:val="0"/>
          <w:sz w:val="32"/>
          <w:szCs w:val="32"/>
          <w:u w:val="none" w:color="auto"/>
          <w14:textFill>
            <w14:solidFill>
              <w14:schemeClr w14:val="tx1"/>
            </w14:solidFill>
          </w14:textFill>
        </w:rPr>
        <w:t>单位概况</w:t>
      </w:r>
    </w:p>
    <w:p w14:paraId="7269BC26">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一、主要职能、职责</w:t>
      </w:r>
    </w:p>
    <w:p w14:paraId="28EBF366">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二、单位机构设置及决算单位构成情况</w:t>
      </w:r>
    </w:p>
    <w:p w14:paraId="5A64FB8F">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三、</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年度单位主要工作完成情况</w:t>
      </w:r>
    </w:p>
    <w:p w14:paraId="3B43CF20">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color w:val="000000" w:themeColor="text1"/>
          <w:kern w:val="0"/>
          <w:sz w:val="32"/>
          <w:szCs w:val="32"/>
          <w:u w:val="none" w:color="auto"/>
          <w14:textFill>
            <w14:solidFill>
              <w14:schemeClr w14:val="tx1"/>
            </w14:solidFill>
          </w14:textFill>
        </w:rPr>
        <w:t>第二部分</w:t>
      </w:r>
      <w:r>
        <w:rPr>
          <w:rFonts w:ascii="Calibri" w:hAnsi="Calibri" w:eastAsia="Calibri" w:cs="Calibri"/>
          <w:color w:val="000000" w:themeColor="text1"/>
          <w:kern w:val="0"/>
          <w:sz w:val="32"/>
          <w:szCs w:val="32"/>
          <w:u w:val="none" w:color="auto"/>
          <w:lang w:eastAsia="en-US"/>
          <w14:textFill>
            <w14:solidFill>
              <w14:schemeClr w14:val="tx1"/>
            </w14:solidFill>
          </w14:textFill>
        </w:rPr>
        <w:t> </w:t>
      </w:r>
      <w:r>
        <w:rPr>
          <w:rFonts w:ascii="黑体" w:hAnsi="黑体" w:eastAsia="黑体" w:cs="黑体"/>
          <w:color w:val="000000" w:themeColor="text1"/>
          <w:kern w:val="0"/>
          <w:sz w:val="32"/>
          <w:szCs w:val="32"/>
          <w:u w:val="none" w:color="auto"/>
          <w:lang w:eastAsia="en-US"/>
          <w14:textFill>
            <w14:solidFill>
              <w14:schemeClr w14:val="tx1"/>
            </w14:solidFill>
          </w14:textFill>
        </w:rPr>
        <w:t xml:space="preserve"> </w:t>
      </w:r>
      <w:r>
        <w:rPr>
          <w:rFonts w:ascii="黑体" w:hAnsi="黑体" w:eastAsia="黑体" w:cs="黑体"/>
          <w:color w:val="000000" w:themeColor="text1"/>
          <w:kern w:val="0"/>
          <w:sz w:val="32"/>
          <w:szCs w:val="32"/>
          <w:u w:val="none" w:color="auto"/>
          <w14:textFill>
            <w14:solidFill>
              <w14:schemeClr w14:val="tx1"/>
            </w14:solidFill>
          </w14:textFill>
        </w:rPr>
        <w:t>单位决算情况说明</w:t>
      </w:r>
    </w:p>
    <w:p w14:paraId="017783FD">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一、收入支出决算总体情况说明</w:t>
      </w:r>
    </w:p>
    <w:p w14:paraId="3A0C884B">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二、收入决算情况说明</w:t>
      </w:r>
    </w:p>
    <w:p w14:paraId="79D74FE8">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三、支出决算情况说明</w:t>
      </w:r>
    </w:p>
    <w:p w14:paraId="7C2280F9">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四、财政拨款收入支出决算总体情况说明</w:t>
      </w:r>
    </w:p>
    <w:p w14:paraId="3EB96300">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五、一般公共预算财政拨款支出决算情况说明</w:t>
      </w:r>
    </w:p>
    <w:p w14:paraId="60C54973">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六、一般公共预算财政拨款基本支出决算情况说明</w:t>
      </w:r>
    </w:p>
    <w:p w14:paraId="3098FAF1">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七、一般公共预算财政拨款项目支出决算情况说明</w:t>
      </w:r>
    </w:p>
    <w:p w14:paraId="32A9CB18">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八、财政拨款“三公”经费支出决算情况说明</w:t>
      </w:r>
    </w:p>
    <w:p w14:paraId="0C9818FD">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九、政府性基金预算财政拨款支出决算情况说明</w:t>
      </w:r>
    </w:p>
    <w:p w14:paraId="0C30BBA5">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十、国有资本经营预算财政拨款支出决算情况说明</w:t>
      </w:r>
    </w:p>
    <w:p w14:paraId="520B004E">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十一、机关运行经费（公用经费）支出决算情况说明</w:t>
      </w:r>
    </w:p>
    <w:p w14:paraId="04ADBAA0">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十二、政府采购支出决算情况说明</w:t>
      </w:r>
    </w:p>
    <w:p w14:paraId="60B6564A">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十三、国有资产占用情况说明</w:t>
      </w:r>
    </w:p>
    <w:p w14:paraId="36859479">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十四、预算绩效情况说明</w:t>
      </w:r>
    </w:p>
    <w:p w14:paraId="04F0846C">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color w:val="000000" w:themeColor="text1"/>
          <w:kern w:val="0"/>
          <w:sz w:val="32"/>
          <w:szCs w:val="32"/>
          <w:u w:val="none" w:color="auto"/>
          <w14:textFill>
            <w14:solidFill>
              <w14:schemeClr w14:val="tx1"/>
            </w14:solidFill>
          </w14:textFill>
        </w:rPr>
        <w:t>第三部分</w:t>
      </w:r>
      <w:r>
        <w:rPr>
          <w:rFonts w:ascii="Calibri" w:hAnsi="Calibri" w:eastAsia="Calibri" w:cs="Calibri"/>
          <w:color w:val="000000" w:themeColor="text1"/>
          <w:kern w:val="0"/>
          <w:sz w:val="32"/>
          <w:szCs w:val="32"/>
          <w:u w:val="none" w:color="auto"/>
          <w:lang w:eastAsia="en-US"/>
          <w14:textFill>
            <w14:solidFill>
              <w14:schemeClr w14:val="tx1"/>
            </w14:solidFill>
          </w14:textFill>
        </w:rPr>
        <w:t> </w:t>
      </w:r>
      <w:r>
        <w:rPr>
          <w:rFonts w:ascii="黑体" w:hAnsi="黑体" w:eastAsia="黑体" w:cs="黑体"/>
          <w:color w:val="000000" w:themeColor="text1"/>
          <w:kern w:val="0"/>
          <w:sz w:val="32"/>
          <w:szCs w:val="32"/>
          <w:u w:val="none" w:color="auto"/>
          <w:lang w:eastAsia="en-US"/>
          <w14:textFill>
            <w14:solidFill>
              <w14:schemeClr w14:val="tx1"/>
            </w14:solidFill>
          </w14:textFill>
        </w:rPr>
        <w:t xml:space="preserve"> </w:t>
      </w:r>
      <w:r>
        <w:rPr>
          <w:rFonts w:ascii="黑体" w:hAnsi="黑体" w:eastAsia="黑体" w:cs="黑体"/>
          <w:color w:val="000000" w:themeColor="text1"/>
          <w:kern w:val="0"/>
          <w:sz w:val="32"/>
          <w:szCs w:val="32"/>
          <w:u w:val="none" w:color="auto"/>
          <w14:textFill>
            <w14:solidFill>
              <w14:schemeClr w14:val="tx1"/>
            </w14:solidFill>
          </w14:textFill>
        </w:rPr>
        <w:t>名词解释</w:t>
      </w:r>
    </w:p>
    <w:p w14:paraId="5FF698C4">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color w:val="000000" w:themeColor="text1"/>
          <w:kern w:val="0"/>
          <w:sz w:val="32"/>
          <w:szCs w:val="32"/>
          <w:u w:val="none" w:color="auto"/>
          <w14:textFill>
            <w14:solidFill>
              <w14:schemeClr w14:val="tx1"/>
            </w14:solidFill>
          </w14:textFill>
        </w:rPr>
        <w:t>第四部分</w:t>
      </w:r>
      <w:r>
        <w:rPr>
          <w:rFonts w:ascii="Calibri" w:hAnsi="Calibri" w:eastAsia="Calibri" w:cs="Calibri"/>
          <w:color w:val="000000" w:themeColor="text1"/>
          <w:kern w:val="0"/>
          <w:sz w:val="32"/>
          <w:szCs w:val="32"/>
          <w:u w:val="none" w:color="auto"/>
          <w:lang w:eastAsia="en-US"/>
          <w14:textFill>
            <w14:solidFill>
              <w14:schemeClr w14:val="tx1"/>
            </w14:solidFill>
          </w14:textFill>
        </w:rPr>
        <w:t> </w:t>
      </w:r>
      <w:r>
        <w:rPr>
          <w:rFonts w:ascii="黑体" w:hAnsi="黑体" w:eastAsia="黑体" w:cs="黑体"/>
          <w:color w:val="000000" w:themeColor="text1"/>
          <w:kern w:val="0"/>
          <w:sz w:val="32"/>
          <w:szCs w:val="32"/>
          <w:u w:val="none" w:color="auto"/>
          <w:lang w:eastAsia="en-US"/>
          <w14:textFill>
            <w14:solidFill>
              <w14:schemeClr w14:val="tx1"/>
            </w14:solidFill>
          </w14:textFill>
        </w:rPr>
        <w:t xml:space="preserve"> </w:t>
      </w:r>
      <w:r>
        <w:rPr>
          <w:rFonts w:ascii="黑体" w:hAnsi="黑体" w:eastAsia="黑体" w:cs="黑体"/>
          <w:color w:val="000000" w:themeColor="text1"/>
          <w:kern w:val="0"/>
          <w:sz w:val="32"/>
          <w:szCs w:val="32"/>
          <w:u w:val="none" w:color="auto"/>
          <w14:textFill>
            <w14:solidFill>
              <w14:schemeClr w14:val="tx1"/>
            </w14:solidFill>
          </w14:textFill>
        </w:rPr>
        <w:t>决算公开联系方式及信息反馈渠道</w:t>
      </w:r>
    </w:p>
    <w:p w14:paraId="17CE7681">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color w:val="000000" w:themeColor="text1"/>
          <w:kern w:val="0"/>
          <w:sz w:val="32"/>
          <w:szCs w:val="32"/>
          <w:u w:val="none" w:color="auto"/>
          <w14:textFill>
            <w14:solidFill>
              <w14:schemeClr w14:val="tx1"/>
            </w14:solidFill>
          </w14:textFill>
        </w:rPr>
        <w:t>第五部分</w:t>
      </w:r>
      <w:r>
        <w:rPr>
          <w:rFonts w:ascii="Calibri" w:hAnsi="Calibri" w:eastAsia="Calibri" w:cs="Calibri"/>
          <w:color w:val="000000" w:themeColor="text1"/>
          <w:kern w:val="0"/>
          <w:sz w:val="32"/>
          <w:szCs w:val="32"/>
          <w:u w:val="none" w:color="auto"/>
          <w:lang w:eastAsia="en-US"/>
          <w14:textFill>
            <w14:solidFill>
              <w14:schemeClr w14:val="tx1"/>
            </w14:solidFill>
          </w14:textFill>
        </w:rPr>
        <w:t> </w:t>
      </w:r>
      <w:r>
        <w:rPr>
          <w:rFonts w:ascii="黑体" w:hAnsi="黑体" w:eastAsia="黑体" w:cs="黑体"/>
          <w:color w:val="000000" w:themeColor="text1"/>
          <w:kern w:val="0"/>
          <w:sz w:val="32"/>
          <w:szCs w:val="32"/>
          <w:u w:val="none" w:color="auto"/>
          <w:lang w:eastAsia="en-US"/>
          <w14:textFill>
            <w14:solidFill>
              <w14:schemeClr w14:val="tx1"/>
            </w14:solidFill>
          </w14:textFill>
        </w:rPr>
        <w:t xml:space="preserve"> </w:t>
      </w:r>
      <w:r>
        <w:rPr>
          <w:rFonts w:ascii="黑体" w:hAnsi="黑体" w:eastAsia="黑体" w:cs="黑体"/>
          <w:color w:val="000000" w:themeColor="text1"/>
          <w:kern w:val="0"/>
          <w:sz w:val="32"/>
          <w:szCs w:val="32"/>
          <w:u w:val="none" w:color="auto"/>
          <w14:textFill>
            <w14:solidFill>
              <w14:schemeClr w14:val="tx1"/>
            </w14:solidFill>
          </w14:textFill>
        </w:rPr>
        <w:t>单位决算表</w:t>
      </w:r>
    </w:p>
    <w:p w14:paraId="20CAC892">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一、收入支出决算总表</w:t>
      </w:r>
    </w:p>
    <w:p w14:paraId="5FF7037E">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二、收入决算表</w:t>
      </w:r>
    </w:p>
    <w:p w14:paraId="6507CC7B">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三、支出决算表</w:t>
      </w:r>
    </w:p>
    <w:p w14:paraId="7BF63771">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四、财政拨款收入支出决算总表</w:t>
      </w:r>
    </w:p>
    <w:p w14:paraId="22506D76">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五、一般公共预算财政拨款支出决算表</w:t>
      </w:r>
    </w:p>
    <w:p w14:paraId="0D40140F">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六、一般公共预算财政拨款基本支出决算明细表</w:t>
      </w:r>
    </w:p>
    <w:p w14:paraId="147736E1">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七、一般公共预算财政拨款项目支出决算明细表</w:t>
      </w:r>
    </w:p>
    <w:p w14:paraId="49DFCF6D">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八、政府性基金预算财政拨款收入支出决算表</w:t>
      </w:r>
    </w:p>
    <w:p w14:paraId="1C67C0F2">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九、国有资本经营预算财政拨款收入支出决算表</w:t>
      </w:r>
    </w:p>
    <w:p w14:paraId="532733AC">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十、财政拨款“三公”经费支出决算表</w:t>
      </w:r>
    </w:p>
    <w:p w14:paraId="59218FBE">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十一、机关运行经费支出、国有资产占用情况及政府采购支出信息表</w:t>
      </w:r>
    </w:p>
    <w:p w14:paraId="325781E2">
      <w:pPr>
        <w:pStyle w:val="3"/>
        <w:keepNext w:val="0"/>
        <w:keepLines w:val="0"/>
        <w:widowControl/>
        <w:spacing w:before="0" w:after="0" w:line="360" w:lineRule="auto"/>
        <w:ind w:left="0" w:right="0"/>
        <w:jc w:val="center"/>
        <w:rPr>
          <w:rFonts w:ascii="Times New Roman" w:hAnsi="Times New Roman" w:eastAsia="Times New Roman" w:cs="Times New Roman"/>
          <w:b/>
          <w:bCs/>
          <w:color w:val="000000" w:themeColor="text1"/>
          <w:kern w:val="0"/>
          <w:sz w:val="36"/>
          <w:szCs w:val="36"/>
          <w:u w:val="none" w:color="auto"/>
          <w14:textFill>
            <w14:solidFill>
              <w14:schemeClr w14:val="tx1"/>
            </w14:solidFill>
          </w14:textFill>
        </w:rPr>
      </w:pPr>
      <w:r>
        <w:rPr>
          <w:rFonts w:ascii="方正小标宋简体" w:hAnsi="方正小标宋简体" w:eastAsia="方正小标宋简体" w:cs="方正小标宋简体"/>
          <w:b w:val="0"/>
          <w:bCs w:val="0"/>
          <w:color w:val="000000" w:themeColor="text1"/>
          <w:kern w:val="0"/>
          <w:sz w:val="36"/>
          <w:szCs w:val="36"/>
          <w:u w:val="none" w:color="auto"/>
          <w14:textFill>
            <w14:solidFill>
              <w14:schemeClr w14:val="tx1"/>
            </w14:solidFill>
          </w14:textFill>
        </w:rPr>
        <w:t>第一部分</w:t>
      </w:r>
      <w:r>
        <w:rPr>
          <w:rFonts w:ascii="方正小标宋简体" w:hAnsi="方正小标宋简体" w:eastAsia="方正小标宋简体" w:cs="方正小标宋简体"/>
          <w:b w:val="0"/>
          <w:bCs w:val="0"/>
          <w:color w:val="000000" w:themeColor="text1"/>
          <w:kern w:val="0"/>
          <w:sz w:val="36"/>
          <w:szCs w:val="36"/>
          <w:u w:val="none" w:color="auto"/>
          <w:lang w:eastAsia="en-US"/>
          <w14:textFill>
            <w14:solidFill>
              <w14:schemeClr w14:val="tx1"/>
            </w14:solidFill>
          </w14:textFill>
        </w:rPr>
        <w:t xml:space="preserve">  </w:t>
      </w:r>
      <w:r>
        <w:rPr>
          <w:rFonts w:ascii="方正小标宋简体" w:hAnsi="方正小标宋简体" w:eastAsia="方正小标宋简体" w:cs="方正小标宋简体"/>
          <w:b w:val="0"/>
          <w:bCs w:val="0"/>
          <w:color w:val="000000" w:themeColor="text1"/>
          <w:kern w:val="0"/>
          <w:sz w:val="36"/>
          <w:szCs w:val="36"/>
          <w:u w:val="none" w:color="auto"/>
          <w14:textFill>
            <w14:solidFill>
              <w14:schemeClr w14:val="tx1"/>
            </w14:solidFill>
          </w14:textFill>
        </w:rPr>
        <w:t>单位概况</w:t>
      </w:r>
    </w:p>
    <w:p w14:paraId="07FB5D98">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一、主要职能、职责</w:t>
      </w:r>
    </w:p>
    <w:p w14:paraId="45C48F60">
      <w:pPr>
        <w:snapToGrid w:val="0"/>
        <w:spacing w:beforeLines="0" w:afterLines="0" w:line="560" w:lineRule="exact"/>
        <w:ind w:firstLine="640"/>
        <w:rPr>
          <w:rFonts w:hint="eastAsia" w:ascii="宋体" w:hAnsi="宋体" w:eastAsia="宋体" w:cs="宋体"/>
          <w:color w:val="000000" w:themeColor="text1"/>
          <w:sz w:val="32"/>
          <w:szCs w:val="32"/>
          <w:u w:val="none" w:color="auto"/>
          <w14:textFill>
            <w14:solidFill>
              <w14:schemeClr w14:val="tx1"/>
            </w14:solidFill>
          </w14:textFill>
        </w:rPr>
      </w:pPr>
      <w:r>
        <w:rPr>
          <w:rFonts w:hint="eastAsia" w:ascii="宋体" w:hAnsi="宋体" w:eastAsia="宋体" w:cs="宋体"/>
          <w:color w:val="000000" w:themeColor="text1"/>
          <w:sz w:val="32"/>
          <w:szCs w:val="32"/>
          <w:u w:val="none" w:color="auto"/>
          <w14:textFill>
            <w14:solidFill>
              <w14:schemeClr w14:val="tx1"/>
            </w14:solidFill>
          </w14:textFill>
        </w:rPr>
        <w:t>（一）部门职能</w:t>
      </w:r>
    </w:p>
    <w:p w14:paraId="68E06D1D">
      <w:pPr>
        <w:snapToGrid w:val="0"/>
        <w:spacing w:beforeLines="0" w:afterLines="0" w:line="560" w:lineRule="exact"/>
        <w:ind w:firstLine="640"/>
        <w:rPr>
          <w:rFonts w:hint="eastAsia" w:ascii="宋体" w:hAnsi="宋体" w:eastAsia="宋体" w:cs="宋体"/>
          <w:color w:val="000000" w:themeColor="text1"/>
          <w:sz w:val="32"/>
          <w:szCs w:val="32"/>
          <w:u w:val="none" w:color="auto"/>
          <w:lang w:eastAsia="zh-CN"/>
          <w14:textFill>
            <w14:solidFill>
              <w14:schemeClr w14:val="tx1"/>
            </w14:solidFill>
          </w14:textFill>
        </w:rPr>
      </w:pPr>
      <w:r>
        <w:rPr>
          <w:rFonts w:hint="eastAsia" w:ascii="宋体" w:hAnsi="宋体" w:eastAsia="宋体" w:cs="宋体"/>
          <w:color w:val="000000" w:themeColor="text1"/>
          <w:sz w:val="32"/>
          <w:szCs w:val="32"/>
          <w:u w:val="none" w:color="auto"/>
          <w:lang w:eastAsia="zh-CN"/>
          <w14:textFill>
            <w14:solidFill>
              <w14:schemeClr w14:val="tx1"/>
            </w14:solidFill>
          </w14:textFill>
        </w:rPr>
        <w:t>贯彻执行国家、自治区和巴彦淖尔市有关城市建设的法律、法规、规章及政策，具体负责双河区开发建设工作。</w:t>
      </w:r>
    </w:p>
    <w:p w14:paraId="685C052F">
      <w:pPr>
        <w:snapToGrid w:val="0"/>
        <w:spacing w:beforeLines="0" w:afterLines="0" w:line="560" w:lineRule="exact"/>
        <w:ind w:firstLine="640"/>
        <w:rPr>
          <w:rFonts w:hint="eastAsia" w:ascii="宋体" w:hAnsi="宋体" w:eastAsia="宋体" w:cs="宋体"/>
          <w:color w:val="000000" w:themeColor="text1"/>
          <w:sz w:val="32"/>
          <w:szCs w:val="32"/>
          <w:u w:val="none" w:color="auto"/>
          <w14:textFill>
            <w14:solidFill>
              <w14:schemeClr w14:val="tx1"/>
            </w14:solidFill>
          </w14:textFill>
        </w:rPr>
      </w:pPr>
      <w:r>
        <w:rPr>
          <w:rFonts w:hint="eastAsia" w:ascii="宋体" w:hAnsi="宋体" w:eastAsia="宋体" w:cs="宋体"/>
          <w:color w:val="000000" w:themeColor="text1"/>
          <w:sz w:val="32"/>
          <w:szCs w:val="32"/>
          <w:u w:val="none" w:color="auto"/>
          <w14:textFill>
            <w14:solidFill>
              <w14:schemeClr w14:val="tx1"/>
            </w14:solidFill>
          </w14:textFill>
        </w:rPr>
        <w:t>（二）部门主要职责</w:t>
      </w:r>
    </w:p>
    <w:p w14:paraId="43ED6FD1">
      <w:pPr>
        <w:spacing w:before="100" w:beforeLines="0" w:after="100" w:afterLines="0" w:line="580" w:lineRule="atLeast"/>
        <w:ind w:firstLine="600"/>
        <w:rPr>
          <w:rFonts w:hint="eastAsia" w:ascii="宋体" w:hAnsi="宋体" w:eastAsia="宋体" w:cs="宋体"/>
          <w:color w:val="000000" w:themeColor="text1"/>
          <w:sz w:val="32"/>
          <w:szCs w:val="32"/>
          <w:u w:val="none" w:color="auto"/>
          <w:lang w:val="en-US" w:eastAsia="zh-CN"/>
          <w14:textFill>
            <w14:solidFill>
              <w14:schemeClr w14:val="tx1"/>
            </w14:solidFill>
          </w14:textFill>
        </w:rPr>
      </w:pPr>
      <w:r>
        <w:rPr>
          <w:rFonts w:hint="eastAsia" w:ascii="宋体" w:hAnsi="宋体" w:eastAsia="宋体" w:cs="宋体"/>
          <w:color w:val="000000" w:themeColor="text1"/>
          <w:sz w:val="32"/>
          <w:szCs w:val="32"/>
          <w:u w:val="none" w:color="auto"/>
          <w:lang w:val="en-US" w:eastAsia="zh-CN"/>
          <w14:textFill>
            <w14:solidFill>
              <w14:schemeClr w14:val="tx1"/>
            </w14:solidFill>
          </w14:textFill>
        </w:rPr>
        <w:t>1、按照巴彦淖尔市城市总体规划及双河地区控制性详细规划，协助有关部门草拟双河地区修建性详细规划、开发建设中长期规划、年度计划等工作。</w:t>
      </w:r>
    </w:p>
    <w:p w14:paraId="6D86241E">
      <w:pPr>
        <w:spacing w:before="100" w:beforeLines="0" w:after="100" w:afterLines="0" w:line="580" w:lineRule="atLeast"/>
        <w:ind w:firstLine="600"/>
        <w:rPr>
          <w:rFonts w:hint="eastAsia" w:ascii="宋体" w:hAnsi="宋体" w:eastAsia="宋体" w:cs="宋体"/>
          <w:color w:val="000000" w:themeColor="text1"/>
          <w:sz w:val="32"/>
          <w:szCs w:val="32"/>
          <w:u w:val="none" w:color="auto"/>
          <w:lang w:val="en-US" w:eastAsia="zh-CN"/>
          <w14:textFill>
            <w14:solidFill>
              <w14:schemeClr w14:val="tx1"/>
            </w14:solidFill>
          </w14:textFill>
        </w:rPr>
      </w:pPr>
      <w:r>
        <w:rPr>
          <w:rFonts w:hint="eastAsia" w:ascii="宋体" w:hAnsi="宋体" w:eastAsia="宋体" w:cs="宋体"/>
          <w:color w:val="000000" w:themeColor="text1"/>
          <w:sz w:val="32"/>
          <w:szCs w:val="32"/>
          <w:u w:val="none" w:color="auto"/>
          <w:lang w:val="en-US" w:eastAsia="zh-CN"/>
          <w14:textFill>
            <w14:solidFill>
              <w14:schemeClr w14:val="tx1"/>
            </w14:solidFill>
          </w14:textFill>
        </w:rPr>
        <w:t>2、协助相关部门开展双河地区区域内市政基础设施、建设工程、园林绿化、公共设施建设等方面的协调联络工作。</w:t>
      </w:r>
    </w:p>
    <w:p w14:paraId="03AA1A8A">
      <w:pPr>
        <w:spacing w:before="100" w:beforeLines="0" w:after="100" w:afterLines="0" w:line="580" w:lineRule="atLeast"/>
        <w:ind w:firstLine="600"/>
        <w:rPr>
          <w:rFonts w:hint="eastAsia" w:ascii="宋体" w:hAnsi="宋体" w:eastAsia="宋体" w:cs="宋体"/>
          <w:color w:val="000000" w:themeColor="text1"/>
          <w:sz w:val="32"/>
          <w:szCs w:val="32"/>
          <w:u w:val="none" w:color="auto"/>
          <w:lang w:val="en-US" w:eastAsia="zh-CN"/>
          <w14:textFill>
            <w14:solidFill>
              <w14:schemeClr w14:val="tx1"/>
            </w14:solidFill>
          </w14:textFill>
        </w:rPr>
      </w:pPr>
      <w:r>
        <w:rPr>
          <w:rFonts w:hint="eastAsia" w:ascii="宋体" w:hAnsi="宋体" w:eastAsia="宋体" w:cs="宋体"/>
          <w:color w:val="000000" w:themeColor="text1"/>
          <w:sz w:val="32"/>
          <w:szCs w:val="32"/>
          <w:u w:val="none" w:color="auto"/>
          <w:lang w:val="en-US" w:eastAsia="zh-CN"/>
          <w14:textFill>
            <w14:solidFill>
              <w14:schemeClr w14:val="tx1"/>
            </w14:solidFill>
          </w14:textFill>
        </w:rPr>
        <w:t>3、协调配合相关部门开展双河地区开发建设的土地征收、房屋征收及各类基础设施建设和运营等方面的工作。</w:t>
      </w:r>
    </w:p>
    <w:p w14:paraId="1436F906">
      <w:pPr>
        <w:spacing w:line="600" w:lineRule="exact"/>
        <w:ind w:left="424" w:firstLine="212"/>
        <w:jc w:val="both"/>
        <w:rPr>
          <w:rFonts w:hint="eastAsia" w:ascii="宋体" w:hAnsi="宋体" w:eastAsia="宋体" w:cs="宋体"/>
          <w:color w:val="000000" w:themeColor="text1"/>
          <w:sz w:val="32"/>
          <w:szCs w:val="32"/>
          <w:u w:val="none" w:color="auto"/>
          <w:lang w:val="en-US" w:eastAsia="zh-CN"/>
          <w14:textFill>
            <w14:solidFill>
              <w14:schemeClr w14:val="tx1"/>
            </w14:solidFill>
          </w14:textFill>
        </w:rPr>
      </w:pPr>
      <w:r>
        <w:rPr>
          <w:rFonts w:hint="eastAsia" w:ascii="宋体" w:hAnsi="宋体" w:eastAsia="宋体" w:cs="宋体"/>
          <w:color w:val="000000" w:themeColor="text1"/>
          <w:sz w:val="32"/>
          <w:szCs w:val="32"/>
          <w:u w:val="none" w:color="auto"/>
          <w:lang w:val="en-US" w:eastAsia="zh-CN"/>
          <w14:textFill>
            <w14:solidFill>
              <w14:schemeClr w14:val="tx1"/>
            </w14:solidFill>
          </w14:textFill>
        </w:rPr>
        <w:t>4、承担市政府和市住建局交办的其他相关工作。</w:t>
      </w:r>
    </w:p>
    <w:p w14:paraId="0DDCEA00">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二、单位机构设置及决算单位构成情况</w:t>
      </w:r>
    </w:p>
    <w:p w14:paraId="3343E1D2">
      <w:pPr>
        <w:spacing w:beforeLines="0" w:afterLines="0"/>
        <w:ind w:firstLine="640" w:firstLineChars="200"/>
        <w:rPr>
          <w:rFonts w:hint="eastAsia" w:ascii="宋体" w:hAnsi="宋体" w:eastAsia="宋体" w:cs="宋体"/>
          <w:color w:val="000000" w:themeColor="text1"/>
          <w:sz w:val="32"/>
          <w:szCs w:val="32"/>
          <w:u w:val="none" w:color="auto"/>
          <w:lang w:val="en-US" w:eastAsia="zh-CN"/>
          <w14:textFill>
            <w14:solidFill>
              <w14:schemeClr w14:val="tx1"/>
            </w14:solidFill>
          </w14:textFill>
        </w:rPr>
      </w:pPr>
      <w:r>
        <w:rPr>
          <w:rFonts w:hint="eastAsia" w:ascii="宋体" w:hAnsi="宋体" w:eastAsia="宋体" w:cs="宋体"/>
          <w:color w:val="000000" w:themeColor="text1"/>
          <w:sz w:val="32"/>
          <w:szCs w:val="32"/>
          <w:u w:val="none" w:color="auto"/>
          <w:lang w:val="en-US" w:eastAsia="zh-CN"/>
          <w14:textFill>
            <w14:solidFill>
              <w14:schemeClr w14:val="tx1"/>
            </w14:solidFill>
          </w14:textFill>
        </w:rPr>
        <w:t>1.</w:t>
      </w:r>
      <w:r>
        <w:rPr>
          <w:rFonts w:hint="eastAsia" w:ascii="宋体" w:hAnsi="宋体" w:eastAsia="宋体" w:cs="宋体"/>
          <w:color w:val="000000" w:themeColor="text1"/>
          <w:sz w:val="32"/>
          <w:szCs w:val="32"/>
          <w:u w:val="none" w:color="auto"/>
          <w:lang w:eastAsia="zh-CN"/>
          <w14:textFill>
            <w14:solidFill>
              <w14:schemeClr w14:val="tx1"/>
            </w14:solidFill>
          </w14:textFill>
        </w:rPr>
        <w:t>本单位无下属单位。</w:t>
      </w:r>
      <w:r>
        <w:rPr>
          <w:rFonts w:hint="eastAsia" w:ascii="宋体" w:hAnsi="宋体" w:eastAsia="宋体" w:cs="宋体"/>
          <w:color w:val="000000" w:themeColor="text1"/>
          <w:sz w:val="32"/>
          <w:szCs w:val="32"/>
          <w:u w:val="none" w:color="auto"/>
          <w14:textFill>
            <w14:solidFill>
              <w14:schemeClr w14:val="tx1"/>
            </w14:solidFill>
          </w14:textFill>
        </w:rPr>
        <w:t>巴彦淖尔市</w:t>
      </w:r>
      <w:r>
        <w:rPr>
          <w:rFonts w:hint="eastAsia" w:ascii="宋体" w:hAnsi="宋体" w:eastAsia="宋体" w:cs="宋体"/>
          <w:color w:val="000000" w:themeColor="text1"/>
          <w:sz w:val="32"/>
          <w:szCs w:val="32"/>
          <w:u w:val="none" w:color="auto"/>
          <w:lang w:eastAsia="zh-CN"/>
          <w14:textFill>
            <w14:solidFill>
              <w14:schemeClr w14:val="tx1"/>
            </w14:solidFill>
          </w14:textFill>
        </w:rPr>
        <w:t>城市新区发展中心</w:t>
      </w:r>
      <w:r>
        <w:rPr>
          <w:rFonts w:hint="eastAsia" w:ascii="宋体" w:hAnsi="宋体" w:eastAsia="宋体" w:cs="宋体"/>
          <w:color w:val="000000" w:themeColor="text1"/>
          <w:sz w:val="32"/>
          <w:szCs w:val="32"/>
          <w:u w:val="none" w:color="auto"/>
          <w:lang w:val="en-US" w:eastAsia="zh-CN"/>
          <w14:textFill>
            <w14:solidFill>
              <w14:schemeClr w14:val="tx1"/>
            </w14:solidFill>
          </w14:textFill>
        </w:rPr>
        <w:t>核定事业编制20名（其中管理人员编制6名、专业技术人员编制14名）。核定科级领导职数3名（1正2副）。</w:t>
      </w:r>
    </w:p>
    <w:p w14:paraId="0C91C03D">
      <w:pPr>
        <w:spacing w:beforeLines="0" w:afterLines="0" w:line="360" w:lineRule="auto"/>
        <w:ind w:firstLine="640"/>
        <w:jc w:val="both"/>
        <w:rPr>
          <w:rFonts w:hint="eastAsia" w:ascii="宋体" w:hAnsi="宋体" w:eastAsia="宋体" w:cs="宋体"/>
          <w:color w:val="000000" w:themeColor="text1"/>
          <w:kern w:val="2"/>
          <w:sz w:val="32"/>
          <w:szCs w:val="32"/>
          <w:u w:val="none" w:color="auto"/>
          <w14:textFill>
            <w14:solidFill>
              <w14:schemeClr w14:val="tx1"/>
            </w14:solidFill>
          </w14:textFill>
        </w:rPr>
      </w:pPr>
      <w:r>
        <w:rPr>
          <w:rFonts w:hint="eastAsia" w:ascii="宋体" w:hAnsi="宋体" w:eastAsia="宋体" w:cs="宋体"/>
          <w:color w:val="000000" w:themeColor="text1"/>
          <w:kern w:val="2"/>
          <w:sz w:val="32"/>
          <w:szCs w:val="32"/>
          <w:u w:val="none" w:color="auto"/>
          <w14:textFill>
            <w14:solidFill>
              <w14:schemeClr w14:val="tx1"/>
            </w14:solidFill>
          </w14:textFill>
        </w:rPr>
        <w:t>2.从决算单位构成看，纳入本部门202</w:t>
      </w:r>
      <w:r>
        <w:rPr>
          <w:rFonts w:hint="eastAsia" w:ascii="宋体" w:hAnsi="宋体" w:cs="宋体"/>
          <w:color w:val="000000" w:themeColor="text1"/>
          <w:kern w:val="2"/>
          <w:sz w:val="32"/>
          <w:szCs w:val="32"/>
          <w:u w:val="none" w:color="auto"/>
          <w:lang w:val="en-US" w:eastAsia="zh-CN"/>
          <w14:textFill>
            <w14:solidFill>
              <w14:schemeClr w14:val="tx1"/>
            </w14:solidFill>
          </w14:textFill>
        </w:rPr>
        <w:t>4</w:t>
      </w:r>
      <w:r>
        <w:rPr>
          <w:rFonts w:hint="eastAsia" w:ascii="宋体" w:hAnsi="宋体" w:eastAsia="宋体" w:cs="宋体"/>
          <w:color w:val="000000" w:themeColor="text1"/>
          <w:kern w:val="2"/>
          <w:sz w:val="32"/>
          <w:szCs w:val="32"/>
          <w:u w:val="none" w:color="auto"/>
          <w14:textFill>
            <w14:solidFill>
              <w14:schemeClr w14:val="tx1"/>
            </w14:solidFill>
          </w14:textFill>
        </w:rPr>
        <w:t>年部门汇总决算编制范围的预算单位共计</w:t>
      </w:r>
      <w:r>
        <w:rPr>
          <w:rFonts w:hint="eastAsia" w:ascii="宋体" w:hAnsi="宋体" w:eastAsia="宋体" w:cs="宋体"/>
          <w:color w:val="000000" w:themeColor="text1"/>
          <w:kern w:val="2"/>
          <w:sz w:val="32"/>
          <w:szCs w:val="32"/>
          <w:u w:val="none" w:color="auto"/>
          <w:lang w:val="en-US" w:eastAsia="zh-CN"/>
          <w14:textFill>
            <w14:solidFill>
              <w14:schemeClr w14:val="tx1"/>
            </w14:solidFill>
          </w14:textFill>
        </w:rPr>
        <w:t>1</w:t>
      </w:r>
      <w:r>
        <w:rPr>
          <w:rFonts w:hint="eastAsia" w:ascii="宋体" w:hAnsi="宋体" w:eastAsia="宋体" w:cs="宋体"/>
          <w:color w:val="000000" w:themeColor="text1"/>
          <w:kern w:val="2"/>
          <w:sz w:val="32"/>
          <w:szCs w:val="32"/>
          <w:u w:val="none" w:color="auto"/>
          <w14:textFill>
            <w14:solidFill>
              <w14:schemeClr w14:val="tx1"/>
            </w14:solidFill>
          </w14:textFill>
        </w:rPr>
        <w:t>家。详细情况见表：</w:t>
      </w:r>
    </w:p>
    <w:tbl>
      <w:tblPr>
        <w:tblStyle w:val="18"/>
        <w:tblW w:w="7080" w:type="dxa"/>
        <w:jc w:val="center"/>
        <w:tblLayout w:type="fixed"/>
        <w:tblCellMar>
          <w:top w:w="15" w:type="dxa"/>
          <w:left w:w="15" w:type="dxa"/>
          <w:bottom w:w="15" w:type="dxa"/>
          <w:right w:w="15" w:type="dxa"/>
        </w:tblCellMar>
      </w:tblPr>
      <w:tblGrid>
        <w:gridCol w:w="583"/>
        <w:gridCol w:w="2369"/>
        <w:gridCol w:w="4128"/>
      </w:tblGrid>
      <w:tr w14:paraId="6DF26949">
        <w:tblPrEx>
          <w:tblCellMar>
            <w:top w:w="15" w:type="dxa"/>
            <w:left w:w="15" w:type="dxa"/>
            <w:bottom w:w="15" w:type="dxa"/>
            <w:right w:w="15" w:type="dxa"/>
          </w:tblCellMar>
        </w:tblPrEx>
        <w:trPr>
          <w:trHeight w:val="459" w:hRule="atLeast"/>
          <w:tblHeader/>
          <w:jc w:val="center"/>
        </w:trPr>
        <w:tc>
          <w:tcPr>
            <w:tcW w:w="583"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27D5A1B0">
            <w:pPr>
              <w:widowControl/>
              <w:jc w:val="center"/>
              <w:rPr>
                <w:rFonts w:ascii="Times New Roman" w:hAnsi="Times New Roman" w:eastAsia="Times New Roman" w:cs="Times New Roman"/>
                <w:b w:val="0"/>
                <w:bCs w:val="0"/>
                <w:i w:val="0"/>
                <w:iCs w:val="0"/>
                <w:smallCaps w:val="0"/>
                <w:color w:val="000000" w:themeColor="text1"/>
                <w:kern w:val="0"/>
                <w:sz w:val="24"/>
                <w:u w:val="none" w:color="auto"/>
                <w14:textFill>
                  <w14:solidFill>
                    <w14:schemeClr w14:val="tx1"/>
                  </w14:solidFill>
                </w14:textFill>
              </w:rPr>
            </w:pPr>
            <w:r>
              <w:rPr>
                <w:rFonts w:ascii="仿宋" w:hAnsi="仿宋" w:eastAsia="仿宋" w:cs="仿宋"/>
                <w:b w:val="0"/>
                <w:bCs w:val="0"/>
                <w:i w:val="0"/>
                <w:iCs w:val="0"/>
                <w:smallCaps w:val="0"/>
                <w:color w:val="000000" w:themeColor="text1"/>
                <w:kern w:val="0"/>
                <w:sz w:val="24"/>
                <w:u w:val="none" w:color="auto"/>
                <w14:textFill>
                  <w14:solidFill>
                    <w14:schemeClr w14:val="tx1"/>
                  </w14:solidFill>
                </w14:textFill>
              </w:rPr>
              <w:t>序号</w:t>
            </w:r>
          </w:p>
        </w:tc>
        <w:tc>
          <w:tcPr>
            <w:tcW w:w="2369"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4E1C2739">
            <w:pPr>
              <w:widowControl/>
              <w:jc w:val="center"/>
              <w:rPr>
                <w:rFonts w:ascii="Times New Roman" w:hAnsi="Times New Roman" w:eastAsia="Times New Roman" w:cs="Times New Roman"/>
                <w:b w:val="0"/>
                <w:bCs w:val="0"/>
                <w:i w:val="0"/>
                <w:iCs w:val="0"/>
                <w:smallCaps w:val="0"/>
                <w:color w:val="000000" w:themeColor="text1"/>
                <w:kern w:val="0"/>
                <w:sz w:val="24"/>
                <w:u w:val="none" w:color="auto"/>
                <w14:textFill>
                  <w14:solidFill>
                    <w14:schemeClr w14:val="tx1"/>
                  </w14:solidFill>
                </w14:textFill>
              </w:rPr>
            </w:pPr>
            <w:r>
              <w:rPr>
                <w:rFonts w:ascii="仿宋" w:hAnsi="仿宋" w:eastAsia="仿宋" w:cs="仿宋"/>
                <w:b w:val="0"/>
                <w:bCs w:val="0"/>
                <w:i w:val="0"/>
                <w:iCs w:val="0"/>
                <w:smallCaps w:val="0"/>
                <w:color w:val="000000" w:themeColor="text1"/>
                <w:kern w:val="0"/>
                <w:sz w:val="24"/>
                <w:u w:val="none" w:color="auto"/>
                <w14:textFill>
                  <w14:solidFill>
                    <w14:schemeClr w14:val="tx1"/>
                  </w14:solidFill>
                </w14:textFill>
              </w:rPr>
              <w:t>单位名称</w:t>
            </w:r>
          </w:p>
        </w:tc>
        <w:tc>
          <w:tcPr>
            <w:tcW w:w="4128"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2F0B669F">
            <w:pPr>
              <w:widowControl/>
              <w:jc w:val="center"/>
              <w:rPr>
                <w:rFonts w:ascii="Times New Roman" w:hAnsi="Times New Roman" w:eastAsia="Times New Roman" w:cs="Times New Roman"/>
                <w:b w:val="0"/>
                <w:bCs w:val="0"/>
                <w:i w:val="0"/>
                <w:iCs w:val="0"/>
                <w:smallCaps w:val="0"/>
                <w:color w:val="000000" w:themeColor="text1"/>
                <w:kern w:val="0"/>
                <w:sz w:val="24"/>
                <w:u w:val="none" w:color="auto"/>
                <w14:textFill>
                  <w14:solidFill>
                    <w14:schemeClr w14:val="tx1"/>
                  </w14:solidFill>
                </w14:textFill>
              </w:rPr>
            </w:pPr>
            <w:r>
              <w:rPr>
                <w:rFonts w:ascii="仿宋" w:hAnsi="仿宋" w:eastAsia="仿宋" w:cs="仿宋"/>
                <w:b w:val="0"/>
                <w:bCs w:val="0"/>
                <w:i w:val="0"/>
                <w:iCs w:val="0"/>
                <w:smallCaps w:val="0"/>
                <w:color w:val="000000" w:themeColor="text1"/>
                <w:kern w:val="0"/>
                <w:sz w:val="24"/>
                <w:u w:val="none" w:color="auto"/>
                <w14:textFill>
                  <w14:solidFill>
                    <w14:schemeClr w14:val="tx1"/>
                  </w14:solidFill>
                </w14:textFill>
              </w:rPr>
              <w:t>单位性质</w:t>
            </w:r>
          </w:p>
        </w:tc>
      </w:tr>
      <w:tr w14:paraId="2A81195F">
        <w:tblPrEx>
          <w:tblCellMar>
            <w:top w:w="15" w:type="dxa"/>
            <w:left w:w="15" w:type="dxa"/>
            <w:bottom w:w="15" w:type="dxa"/>
            <w:right w:w="15" w:type="dxa"/>
          </w:tblCellMar>
        </w:tblPrEx>
        <w:trPr>
          <w:trHeight w:val="368" w:hRule="atLeast"/>
          <w:jc w:val="center"/>
        </w:trPr>
        <w:tc>
          <w:tcPr>
            <w:tcW w:w="583"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02DCAA45">
            <w:pPr>
              <w:widowControl/>
              <w:jc w:val="center"/>
              <w:rPr>
                <w:rFonts w:ascii="Times New Roman" w:hAnsi="Times New Roman" w:eastAsia="Times New Roman" w:cs="Times New Roman"/>
                <w:b w:val="0"/>
                <w:bCs w:val="0"/>
                <w:i w:val="0"/>
                <w:iCs w:val="0"/>
                <w:smallCaps w:val="0"/>
                <w:color w:val="000000" w:themeColor="text1"/>
                <w:kern w:val="0"/>
                <w:sz w:val="24"/>
                <w:u w:val="none" w:color="auto"/>
                <w14:textFill>
                  <w14:solidFill>
                    <w14:schemeClr w14:val="tx1"/>
                  </w14:solidFill>
                </w14:textFill>
              </w:rPr>
            </w:pPr>
            <w:r>
              <w:rPr>
                <w:rFonts w:eastAsia="Times New Roman"/>
                <w:b w:val="0"/>
                <w:bCs w:val="0"/>
                <w:i w:val="0"/>
                <w:iCs w:val="0"/>
                <w:smallCaps w:val="0"/>
                <w:color w:val="000000" w:themeColor="text1"/>
                <w:kern w:val="0"/>
                <w:sz w:val="24"/>
                <w:u w:val="none" w:color="auto"/>
                <w14:textFill>
                  <w14:solidFill>
                    <w14:schemeClr w14:val="tx1"/>
                  </w14:solidFill>
                </w14:textFill>
              </w:rPr>
              <w:t>1</w:t>
            </w:r>
          </w:p>
        </w:tc>
        <w:tc>
          <w:tcPr>
            <w:tcW w:w="2369"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3CCC3953">
            <w:pPr>
              <w:widowControl/>
              <w:jc w:val="left"/>
              <w:rPr>
                <w:rFonts w:hint="eastAsia" w:ascii="仿宋_GB2312" w:hAnsi="仿宋_GB2312" w:eastAsia="仿宋_GB2312" w:cs="仿宋_GB2312"/>
                <w:b w:val="0"/>
                <w:bCs w:val="0"/>
                <w:i w:val="0"/>
                <w:iCs w:val="0"/>
                <w:smallCaps w:val="0"/>
                <w:color w:val="000000" w:themeColor="text1"/>
                <w:kern w:val="0"/>
                <w:sz w:val="24"/>
                <w:u w:val="none" w:color="auto"/>
                <w14:textFill>
                  <w14:solidFill>
                    <w14:schemeClr w14:val="tx1"/>
                  </w14:solidFill>
                </w14:textFill>
              </w:rPr>
            </w:pPr>
            <w:r>
              <w:rPr>
                <w:rFonts w:hint="eastAsia" w:ascii="仿宋_GB2312" w:hAnsi="仿宋_GB2312" w:eastAsia="仿宋_GB2312" w:cs="仿宋_GB2312"/>
                <w:b w:val="0"/>
                <w:bCs w:val="0"/>
                <w:i w:val="0"/>
                <w:iCs w:val="0"/>
                <w:smallCaps w:val="0"/>
                <w:color w:val="000000" w:themeColor="text1"/>
                <w:kern w:val="0"/>
                <w:sz w:val="32"/>
                <w:szCs w:val="32"/>
                <w:u w:val="none" w:color="auto"/>
                <w:lang w:eastAsia="zh-CN"/>
                <w14:textFill>
                  <w14:solidFill>
                    <w14:schemeClr w14:val="tx1"/>
                  </w14:solidFill>
                </w14:textFill>
              </w:rPr>
              <w:t>巴彦淖尔市城市新区发展中心</w:t>
            </w:r>
          </w:p>
        </w:tc>
        <w:tc>
          <w:tcPr>
            <w:tcW w:w="4128"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5EF6E4C6">
            <w:pPr>
              <w:widowControl/>
              <w:jc w:val="left"/>
              <w:rPr>
                <w:rFonts w:hint="eastAsia" w:ascii="仿宋_GB2312" w:hAnsi="仿宋_GB2312" w:eastAsia="仿宋_GB2312" w:cs="仿宋_GB2312"/>
                <w:b w:val="0"/>
                <w:bCs w:val="0"/>
                <w:i w:val="0"/>
                <w:iCs w:val="0"/>
                <w:smallCaps w:val="0"/>
                <w:color w:val="000000" w:themeColor="text1"/>
                <w:kern w:val="0"/>
                <w:sz w:val="24"/>
                <w:u w:val="none" w:color="auto"/>
                <w14:textFill>
                  <w14:solidFill>
                    <w14:schemeClr w14:val="tx1"/>
                  </w14:solidFill>
                </w14:textFill>
              </w:rPr>
            </w:pPr>
            <w:r>
              <w:rPr>
                <w:rFonts w:hint="eastAsia" w:ascii="仿宋_GB2312" w:hAnsi="仿宋_GB2312" w:eastAsia="仿宋_GB2312" w:cs="仿宋_GB2312"/>
                <w:b w:val="0"/>
                <w:bCs w:val="0"/>
                <w:i w:val="0"/>
                <w:iCs w:val="0"/>
                <w:smallCaps w:val="0"/>
                <w:color w:val="000000" w:themeColor="text1"/>
                <w:kern w:val="0"/>
                <w:sz w:val="32"/>
                <w:szCs w:val="32"/>
                <w:u w:val="none" w:color="auto"/>
                <w14:textFill>
                  <w14:solidFill>
                    <w14:schemeClr w14:val="tx1"/>
                  </w14:solidFill>
                </w14:textFill>
              </w:rPr>
              <w:t>财政拨款的</w:t>
            </w:r>
            <w:r>
              <w:rPr>
                <w:rFonts w:hint="eastAsia" w:ascii="仿宋_GB2312" w:hAnsi="仿宋_GB2312" w:eastAsia="仿宋_GB2312" w:cs="仿宋_GB2312"/>
                <w:b w:val="0"/>
                <w:bCs w:val="0"/>
                <w:i w:val="0"/>
                <w:iCs w:val="0"/>
                <w:smallCaps w:val="0"/>
                <w:color w:val="000000" w:themeColor="text1"/>
                <w:kern w:val="0"/>
                <w:sz w:val="32"/>
                <w:szCs w:val="32"/>
                <w:u w:val="none" w:color="auto"/>
                <w:lang w:eastAsia="zh-CN"/>
                <w14:textFill>
                  <w14:solidFill>
                    <w14:schemeClr w14:val="tx1"/>
                  </w14:solidFill>
                </w14:textFill>
              </w:rPr>
              <w:t>事业</w:t>
            </w:r>
            <w:r>
              <w:rPr>
                <w:rFonts w:hint="eastAsia" w:ascii="仿宋_GB2312" w:hAnsi="仿宋_GB2312" w:eastAsia="仿宋_GB2312" w:cs="仿宋_GB2312"/>
                <w:b w:val="0"/>
                <w:bCs w:val="0"/>
                <w:i w:val="0"/>
                <w:iCs w:val="0"/>
                <w:smallCaps w:val="0"/>
                <w:color w:val="000000" w:themeColor="text1"/>
                <w:kern w:val="0"/>
                <w:sz w:val="32"/>
                <w:szCs w:val="32"/>
                <w:u w:val="none" w:color="auto"/>
                <w14:textFill>
                  <w14:solidFill>
                    <w14:schemeClr w14:val="tx1"/>
                  </w14:solidFill>
                </w14:textFill>
              </w:rPr>
              <w:t>单位</w:t>
            </w:r>
          </w:p>
        </w:tc>
      </w:tr>
    </w:tbl>
    <w:p w14:paraId="2A06FBCC">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三、</w:t>
      </w:r>
      <w:r>
        <w:rPr>
          <w:rFonts w:eastAsia="Times New Roman"/>
          <w:b/>
          <w:bCs/>
          <w:color w:val="000000" w:themeColor="text1"/>
          <w:kern w:val="0"/>
          <w:sz w:val="32"/>
          <w:szCs w:val="32"/>
          <w:u w:val="none" w:color="auto"/>
          <w:lang w:eastAsia="en-US"/>
          <w14:textFill>
            <w14:solidFill>
              <w14:schemeClr w14:val="tx1"/>
            </w14:solidFill>
          </w14:textFill>
        </w:rPr>
        <w:t>2025</w:t>
      </w:r>
      <w:r>
        <w:rPr>
          <w:rFonts w:ascii="黑体" w:hAnsi="黑体" w:eastAsia="黑体" w:cs="黑体"/>
          <w:b/>
          <w:bCs/>
          <w:color w:val="000000" w:themeColor="text1"/>
          <w:kern w:val="0"/>
          <w:sz w:val="32"/>
          <w:szCs w:val="32"/>
          <w:u w:val="none" w:color="auto"/>
          <w14:textFill>
            <w14:solidFill>
              <w14:schemeClr w14:val="tx1"/>
            </w14:solidFill>
          </w14:textFill>
        </w:rPr>
        <w:t>年度单位要工作完成情况</w:t>
      </w:r>
    </w:p>
    <w:p w14:paraId="40AC4C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t>今年以来，按照市委市政府以及市住建局的安排部署，坚持凝心聚力抓项目，聚精会神抓落实，各项工作取得了较大的进展。</w:t>
      </w:r>
      <w:r>
        <w:rPr>
          <w:rFonts w:hint="eastAsia" w:ascii="仿宋_GB2312" w:hAnsi="仿宋_GB2312" w:eastAsia="仿宋_GB2312" w:cs="仿宋_GB2312"/>
          <w:b/>
          <w:bCs/>
          <w:color w:val="000000" w:themeColor="text1"/>
          <w:sz w:val="32"/>
          <w:szCs w:val="32"/>
          <w:u w:val="none" w:color="auto"/>
          <w:lang w:val="en-US" w:eastAsia="zh-CN"/>
          <w14:textFill>
            <w14:solidFill>
              <w14:schemeClr w14:val="tx1"/>
            </w14:solidFill>
          </w14:textFill>
        </w:rPr>
        <w:t>一是</w:t>
      </w:r>
      <w:r>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t>继续做好北京中医院内蒙古医院周边市政道路配套设施建设工程的尾留工程。2025年，我中心主要完成了绿化工程、强家路剩余道路</w:t>
      </w:r>
      <w:r>
        <w:rPr>
          <w:rFonts w:hint="eastAsia" w:ascii="仿宋_GB2312" w:hAnsi="仿宋_GB2312" w:eastAsia="仿宋_GB2312" w:cs="仿宋_GB2312"/>
          <w:color w:val="000000" w:themeColor="text1"/>
          <w:sz w:val="32"/>
          <w:szCs w:val="32"/>
          <w:u w:val="none" w:color="auto"/>
          <w:lang w:val="en-US" w:eastAsia="zh-CN"/>
          <w14:textFill>
            <w14:solidFill>
              <w14:schemeClr w14:val="tx1"/>
            </w14:solidFill>
          </w14:textFill>
        </w:rPr>
        <w:t>铺油、雨污水管网对接、人行道铺设等工作</w:t>
      </w:r>
      <w:r>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t>，完成部分路段沥青道路对接和铺设工程；路灯安装等工作。目前，已种植乔木433株、灌木71000株，共完成道路绿化面积7.8亩；对接雨水管道和污水管道</w:t>
      </w:r>
      <w:r>
        <w:rPr>
          <w:rFonts w:hint="default" w:ascii="仿宋_GB2312" w:hAnsi="仿宋_GB2312" w:eastAsia="仿宋_GB2312" w:cs="仿宋_GB2312"/>
          <w:b w:val="0"/>
          <w:bCs w:val="0"/>
          <w:color w:val="000000" w:themeColor="text1"/>
          <w:sz w:val="32"/>
          <w:szCs w:val="32"/>
          <w:u w:val="none" w:color="auto"/>
          <w:lang w:val="en" w:eastAsia="zh-CN"/>
          <w14:textFill>
            <w14:solidFill>
              <w14:schemeClr w14:val="tx1"/>
            </w14:solidFill>
          </w14:textFill>
        </w:rPr>
        <w:t>5405</w:t>
      </w:r>
      <w:r>
        <w:rPr>
          <w:rFonts w:hint="eastAsia" w:ascii="仿宋_GB2312" w:hAnsi="仿宋_GB2312" w:eastAsia="仿宋_GB2312" w:cs="仿宋_GB2312"/>
          <w:b w:val="0"/>
          <w:bCs w:val="0"/>
          <w:color w:val="000000" w:themeColor="text1"/>
          <w:sz w:val="32"/>
          <w:szCs w:val="32"/>
          <w:u w:val="none" w:color="auto"/>
          <w:lang w:val="en" w:eastAsia="zh-CN"/>
          <w14:textFill>
            <w14:solidFill>
              <w14:schemeClr w14:val="tx1"/>
            </w14:solidFill>
          </w14:textFill>
        </w:rPr>
        <w:t>米</w:t>
      </w:r>
      <w:r>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t>；铺设道路面积92442.16平方米；安装路灯128盏。</w:t>
      </w:r>
      <w:r>
        <w:rPr>
          <w:rFonts w:hint="eastAsia" w:ascii="仿宋_GB2312" w:hAnsi="仿宋_GB2312" w:eastAsia="仿宋_GB2312" w:cs="仿宋_GB2312"/>
          <w:b/>
          <w:bCs/>
          <w:color w:val="000000" w:themeColor="text1"/>
          <w:sz w:val="32"/>
          <w:szCs w:val="32"/>
          <w:u w:val="none" w:color="auto"/>
          <w:lang w:val="en-US" w:eastAsia="zh-CN"/>
          <w14:textFill>
            <w14:solidFill>
              <w14:schemeClr w14:val="tx1"/>
            </w14:solidFill>
          </w14:textFill>
        </w:rPr>
        <w:t>二是</w:t>
      </w:r>
      <w:r>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t>做好已征土地利用管理。我中心已征土地继续委托临河区市政公司进行管理；河套学院申请将位于双河校区南、东至三封路、南至安澜街、西至高阙路的土地用于实践教学和科研工作，经市政府、市住建局、河套学院相关领导多次实地勘察，已签署委托管理协议。</w:t>
      </w:r>
      <w:r>
        <w:rPr>
          <w:rFonts w:hint="eastAsia" w:ascii="仿宋_GB2312" w:hAnsi="仿宋_GB2312" w:eastAsia="仿宋_GB2312" w:cs="仿宋_GB2312"/>
          <w:b/>
          <w:bCs/>
          <w:color w:val="000000" w:themeColor="text1"/>
          <w:sz w:val="32"/>
          <w:szCs w:val="32"/>
          <w:u w:val="none" w:color="auto"/>
          <w:lang w:val="en-US" w:eastAsia="zh-CN"/>
          <w14:textFill>
            <w14:solidFill>
              <w14:schemeClr w14:val="tx1"/>
            </w14:solidFill>
          </w14:textFill>
        </w:rPr>
        <w:t>三是</w:t>
      </w:r>
      <w:r>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t>做好中央环保督察交办整改工作。在2025年中央环保督察督办时，发现双河片区云中大街存在城市生活垃圾、建筑垃圾混倒现象，我中心协同临河区执法局开发区中队、临河区市政公司进行整改，将所有垃圾清理完毕，完成督察整改任务。</w:t>
      </w:r>
      <w:r>
        <w:rPr>
          <w:rFonts w:hint="eastAsia" w:ascii="仿宋_GB2312" w:hAnsi="仿宋_GB2312" w:eastAsia="仿宋_GB2312" w:cs="仿宋_GB2312"/>
          <w:b/>
          <w:bCs/>
          <w:color w:val="000000" w:themeColor="text1"/>
          <w:sz w:val="32"/>
          <w:szCs w:val="32"/>
          <w:u w:val="none" w:color="auto"/>
          <w:lang w:val="en-US" w:eastAsia="zh-CN"/>
          <w14:textFill>
            <w14:solidFill>
              <w14:schemeClr w14:val="tx1"/>
            </w14:solidFill>
          </w14:textFill>
        </w:rPr>
        <w:t>四是</w:t>
      </w:r>
      <w:r>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t>积极化解债务。多次与万宇佳业公司对接化解先锋、金川大桥工程欠款问题并完成尾款支付；根据市工信局、财政局“6.30”化债要求，将金川南路工程400万元欠款上报至债务系统，积极对接协调各部门，努力化解该部分债务；正在上报协调临河区双河镇团结四组失地农民养老保险2289万元资金问题。</w:t>
      </w:r>
      <w:r>
        <w:rPr>
          <w:rFonts w:hint="eastAsia" w:ascii="仿宋_GB2312" w:hAnsi="仿宋_GB2312" w:eastAsia="仿宋_GB2312" w:cs="仿宋_GB2312"/>
          <w:b/>
          <w:bCs/>
          <w:color w:val="000000" w:themeColor="text1"/>
          <w:sz w:val="32"/>
          <w:szCs w:val="32"/>
          <w:u w:val="none" w:color="auto"/>
          <w:lang w:val="en-US" w:eastAsia="zh-CN"/>
          <w14:textFill>
            <w14:solidFill>
              <w14:schemeClr w14:val="tx1"/>
            </w14:solidFill>
          </w14:textFill>
        </w:rPr>
        <w:t>五是</w:t>
      </w:r>
      <w:r>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t>认真回应群众诉求。根据市信访局、市住建局的统一要求，完成信访人艾国、白文学、高新荣的信访调度11次；我中心接收到群众通过12345政务热线反映问题5件，主要涉及福利院主管道接入事宜、道路结冰、路灯不亮、交通标识线无法满足现有交通需求等问题，已全部回应并办结。</w:t>
      </w:r>
    </w:p>
    <w:p w14:paraId="6765FE2B">
      <w:pPr>
        <w:keepNext w:val="0"/>
        <w:keepLines w:val="0"/>
        <w:pageBreakBefore w:val="0"/>
        <w:widowControl/>
        <w:kinsoku/>
        <w:wordWrap/>
        <w:overflowPunct/>
        <w:topLinePunct w:val="0"/>
        <w:autoSpaceDE/>
        <w:autoSpaceDN/>
        <w:bidi w:val="0"/>
        <w:adjustRightInd/>
        <w:snapToGrid/>
        <w:spacing w:before="240" w:after="240"/>
        <w:ind w:firstLine="640" w:firstLineChars="200"/>
        <w:jc w:val="left"/>
        <w:textAlignment w:val="auto"/>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lang w:val="en-US" w:eastAsia="zh-CN"/>
          <w14:textFill>
            <w14:solidFill>
              <w14:schemeClr w14:val="tx1"/>
            </w14:solidFill>
          </w14:textFill>
        </w:rPr>
        <w:t>“十四五”时期和2025年，在市委、市政府大力支持和住建局的坚强领导下，我中心结合实际条件，不断提高政治思想认识，开展重点项目建设，积极化解债务，双河区发展更加健康有序。但与领导的期望、群众的期盼还有很大差距，比如，规划边界不够明确，已征收土地利用率低，基础设施配套管网无法满足使用要求等等。我们将在下一步工作中加以解决。</w:t>
      </w:r>
    </w:p>
    <w:p w14:paraId="0A2BCDE4">
      <w:pPr>
        <w:pStyle w:val="3"/>
        <w:keepNext w:val="0"/>
        <w:keepLines w:val="0"/>
        <w:widowControl/>
        <w:spacing w:before="0" w:after="0" w:line="360" w:lineRule="auto"/>
        <w:ind w:left="0" w:right="0"/>
        <w:jc w:val="center"/>
        <w:rPr>
          <w:rFonts w:ascii="方正小标宋简体" w:hAnsi="方正小标宋简体" w:eastAsia="方正小标宋简体" w:cs="方正小标宋简体"/>
          <w:color w:val="000000" w:themeColor="text1"/>
          <w:kern w:val="0"/>
          <w:sz w:val="36"/>
          <w:szCs w:val="36"/>
          <w:u w:val="none" w:color="auto"/>
          <w14:textFill>
            <w14:solidFill>
              <w14:schemeClr w14:val="tx1"/>
            </w14:solidFill>
          </w14:textFill>
        </w:rPr>
      </w:pPr>
    </w:p>
    <w:p w14:paraId="51AA32D4">
      <w:pPr>
        <w:pStyle w:val="3"/>
        <w:keepNext w:val="0"/>
        <w:keepLines w:val="0"/>
        <w:widowControl/>
        <w:spacing w:before="0" w:after="0" w:line="360" w:lineRule="auto"/>
        <w:ind w:left="0" w:right="0"/>
        <w:jc w:val="center"/>
        <w:rPr>
          <w:rFonts w:ascii="Times New Roman" w:hAnsi="Times New Roman" w:eastAsia="Times New Roman" w:cs="Times New Roman"/>
          <w:b/>
          <w:bCs/>
          <w:color w:val="000000" w:themeColor="text1"/>
          <w:kern w:val="0"/>
          <w:sz w:val="36"/>
          <w:szCs w:val="36"/>
          <w:u w:val="none" w:color="auto"/>
          <w14:textFill>
            <w14:solidFill>
              <w14:schemeClr w14:val="tx1"/>
            </w14:solidFill>
          </w14:textFill>
        </w:rPr>
      </w:pPr>
      <w:r>
        <w:rPr>
          <w:rFonts w:ascii="方正小标宋简体" w:hAnsi="方正小标宋简体" w:eastAsia="方正小标宋简体" w:cs="方正小标宋简体"/>
          <w:color w:val="000000" w:themeColor="text1"/>
          <w:kern w:val="0"/>
          <w:sz w:val="36"/>
          <w:szCs w:val="36"/>
          <w:u w:val="none" w:color="auto"/>
          <w14:textFill>
            <w14:solidFill>
              <w14:schemeClr w14:val="tx1"/>
            </w14:solidFill>
          </w14:textFill>
        </w:rPr>
        <w:t>第二部分</w:t>
      </w:r>
      <w:r>
        <w:rPr>
          <w:rFonts w:ascii="Times New Roman" w:hAnsi="Times New Roman" w:eastAsia="Times New Roman" w:cs="Times New Roman"/>
          <w:color w:val="000000" w:themeColor="text1"/>
          <w:kern w:val="0"/>
          <w:sz w:val="36"/>
          <w:szCs w:val="36"/>
          <w:u w:val="none" w:color="auto"/>
          <w14:textFill>
            <w14:solidFill>
              <w14:schemeClr w14:val="tx1"/>
            </w14:solidFill>
          </w14:textFill>
        </w:rPr>
        <w:t> </w:t>
      </w:r>
      <w:r>
        <w:rPr>
          <w:rFonts w:ascii="方正小标宋简体" w:hAnsi="方正小标宋简体" w:eastAsia="方正小标宋简体" w:cs="方正小标宋简体"/>
          <w:b w:val="0"/>
          <w:bCs w:val="0"/>
          <w:color w:val="000000" w:themeColor="text1"/>
          <w:kern w:val="0"/>
          <w:sz w:val="36"/>
          <w:szCs w:val="36"/>
          <w:u w:val="none" w:color="auto"/>
          <w14:textFill>
            <w14:solidFill>
              <w14:schemeClr w14:val="tx1"/>
            </w14:solidFill>
          </w14:textFill>
        </w:rPr>
        <w:t xml:space="preserve"> </w:t>
      </w:r>
      <w:r>
        <w:rPr>
          <w:rFonts w:ascii="方正小标宋简体" w:hAnsi="方正小标宋简体" w:eastAsia="方正小标宋简体" w:cs="方正小标宋简体"/>
          <w:color w:val="000000" w:themeColor="text1"/>
          <w:kern w:val="0"/>
          <w:sz w:val="36"/>
          <w:szCs w:val="36"/>
          <w:u w:val="none" w:color="auto"/>
          <w14:textFill>
            <w14:solidFill>
              <w14:schemeClr w14:val="tx1"/>
            </w14:solidFill>
          </w14:textFill>
        </w:rPr>
        <w:t>单位决算情况说明</w:t>
      </w:r>
    </w:p>
    <w:p w14:paraId="45801953">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一、收入支出决算总体情况说明</w:t>
      </w:r>
    </w:p>
    <w:p w14:paraId="7E4FFE18">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 xml:space="preserve">内蒙古自治区巴彦淖尔市城市新区发展中心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年度收入、支出决算总计均为</w:t>
      </w:r>
      <w:r>
        <w:rPr>
          <w:rFonts w:eastAsia="Times New Roman"/>
          <w:color w:val="000000" w:themeColor="text1"/>
          <w:kern w:val="0"/>
          <w:sz w:val="32"/>
          <w:szCs w:val="32"/>
          <w:u w:val="none" w:color="auto"/>
          <w:lang w:eastAsia="en-US"/>
          <w14:textFill>
            <w14:solidFill>
              <w14:schemeClr w14:val="tx1"/>
            </w14:solidFill>
          </w14:textFill>
        </w:rPr>
        <w:t xml:space="preserve"> 6796.80</w:t>
      </w:r>
      <w:r>
        <w:rPr>
          <w:rFonts w:ascii="仿宋" w:hAnsi="仿宋" w:eastAsia="仿宋" w:cs="仿宋"/>
          <w:color w:val="000000" w:themeColor="text1"/>
          <w:kern w:val="0"/>
          <w:sz w:val="32"/>
          <w:szCs w:val="32"/>
          <w:u w:val="none" w:color="auto"/>
          <w14:textFill>
            <w14:solidFill>
              <w14:schemeClr w14:val="tx1"/>
            </w14:solidFill>
          </w14:textFill>
        </w:rPr>
        <w:t>万元。与年初预算相比，收、支总计各增加</w:t>
      </w:r>
      <w:r>
        <w:rPr>
          <w:rFonts w:eastAsia="Times New Roman"/>
          <w:color w:val="000000" w:themeColor="text1"/>
          <w:kern w:val="0"/>
          <w:sz w:val="32"/>
          <w:szCs w:val="32"/>
          <w:u w:val="none" w:color="auto"/>
          <w:lang w:eastAsia="en-US"/>
          <w14:textFill>
            <w14:solidFill>
              <w14:schemeClr w14:val="tx1"/>
            </w14:solidFill>
          </w14:textFill>
        </w:rPr>
        <w:t xml:space="preserve"> 4658.81</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217.91</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市财政追加双河区基础设施建设项目资金</w:t>
      </w:r>
      <w:r>
        <w:rPr>
          <w:rFonts w:ascii="仿宋" w:hAnsi="仿宋" w:eastAsia="仿宋" w:cs="仿宋"/>
          <w:color w:val="000000" w:themeColor="text1"/>
          <w:kern w:val="0"/>
          <w:sz w:val="32"/>
          <w:szCs w:val="32"/>
          <w:u w:val="none" w:color="auto"/>
          <w14:textFill>
            <w14:solidFill>
              <w14:schemeClr w14:val="tx1"/>
            </w14:solidFill>
          </w14:textFill>
        </w:rPr>
        <w:t>；与上年决算相比，收、支总计各减少</w:t>
      </w:r>
      <w:r>
        <w:rPr>
          <w:rFonts w:eastAsia="Times New Roman"/>
          <w:color w:val="000000" w:themeColor="text1"/>
          <w:kern w:val="0"/>
          <w:sz w:val="32"/>
          <w:szCs w:val="32"/>
          <w:u w:val="none" w:color="auto"/>
          <w:lang w:eastAsia="en-US"/>
          <w14:textFill>
            <w14:solidFill>
              <w14:schemeClr w14:val="tx1"/>
            </w14:solidFill>
          </w14:textFill>
        </w:rPr>
        <w:t>59381.04</w:t>
      </w:r>
      <w:r>
        <w:rPr>
          <w:rFonts w:ascii="仿宋" w:hAnsi="仿宋" w:eastAsia="仿宋" w:cs="仿宋"/>
          <w:color w:val="000000" w:themeColor="text1"/>
          <w:kern w:val="0"/>
          <w:sz w:val="32"/>
          <w:szCs w:val="32"/>
          <w:u w:val="none" w:color="auto"/>
          <w14:textFill>
            <w14:solidFill>
              <w14:schemeClr w14:val="tx1"/>
            </w14:solidFill>
          </w14:textFill>
        </w:rPr>
        <w:t>万元，</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下降</w:t>
      </w:r>
      <w:r>
        <w:rPr>
          <w:rFonts w:eastAsia="Times New Roman"/>
          <w:color w:val="000000" w:themeColor="text1"/>
          <w:kern w:val="0"/>
          <w:sz w:val="32"/>
          <w:szCs w:val="32"/>
          <w:u w:val="none" w:color="auto"/>
          <w:lang w:eastAsia="en-US"/>
          <w14:textFill>
            <w14:solidFill>
              <w14:schemeClr w14:val="tx1"/>
            </w14:solidFill>
          </w14:textFill>
        </w:rPr>
        <w:t>89.73</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。其中：</w:t>
      </w:r>
    </w:p>
    <w:p w14:paraId="7EE3D563">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楷体" w:hAnsi="楷体" w:eastAsia="楷体" w:cs="楷体"/>
          <w:b/>
          <w:bCs/>
          <w:color w:val="000000" w:themeColor="text1"/>
          <w:kern w:val="0"/>
          <w:sz w:val="32"/>
          <w:szCs w:val="32"/>
          <w:u w:val="none" w:color="auto"/>
          <w14:textFill>
            <w14:solidFill>
              <w14:schemeClr w14:val="tx1"/>
            </w14:solidFill>
          </w14:textFill>
        </w:rPr>
        <w:t>（一）收入决算总计</w:t>
      </w:r>
      <w:r>
        <w:rPr>
          <w:rFonts w:eastAsia="Times New Roman"/>
          <w:b/>
          <w:bCs/>
          <w:color w:val="000000" w:themeColor="text1"/>
          <w:kern w:val="0"/>
          <w:sz w:val="32"/>
          <w:szCs w:val="32"/>
          <w:u w:val="none" w:color="auto"/>
          <w:lang w:eastAsia="en-US"/>
          <w14:textFill>
            <w14:solidFill>
              <w14:schemeClr w14:val="tx1"/>
            </w14:solidFill>
          </w14:textFill>
        </w:rPr>
        <w:t xml:space="preserve"> 6796.80</w:t>
      </w:r>
      <w:r>
        <w:rPr>
          <w:rFonts w:ascii="楷体" w:hAnsi="楷体" w:eastAsia="楷体" w:cs="楷体"/>
          <w:b/>
          <w:bCs/>
          <w:color w:val="000000" w:themeColor="text1"/>
          <w:kern w:val="0"/>
          <w:sz w:val="32"/>
          <w:szCs w:val="32"/>
          <w:u w:val="none" w:color="auto"/>
          <w14:textFill>
            <w14:solidFill>
              <w14:schemeClr w14:val="tx1"/>
            </w14:solidFill>
          </w14:textFill>
        </w:rPr>
        <w:t>万元。包括：</w:t>
      </w:r>
    </w:p>
    <w:p w14:paraId="3F46782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color w:val="000000" w:themeColor="text1"/>
          <w:kern w:val="0"/>
          <w:sz w:val="32"/>
          <w:szCs w:val="32"/>
          <w:u w:val="none" w:color="auto"/>
          <w:lang w:eastAsia="en-US"/>
          <w14:textFill>
            <w14:solidFill>
              <w14:schemeClr w14:val="tx1"/>
            </w14:solidFill>
          </w14:textFill>
        </w:rPr>
        <w:t>1</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本年收入决算合计</w:t>
      </w:r>
      <w:r>
        <w:rPr>
          <w:rFonts w:eastAsia="Times New Roman"/>
          <w:color w:val="000000" w:themeColor="text1"/>
          <w:kern w:val="0"/>
          <w:sz w:val="32"/>
          <w:szCs w:val="32"/>
          <w:u w:val="none" w:color="auto"/>
          <w:lang w:eastAsia="en-US"/>
          <w14:textFill>
            <w14:solidFill>
              <w14:schemeClr w14:val="tx1"/>
            </w14:solidFill>
          </w14:textFill>
        </w:rPr>
        <w:t xml:space="preserve"> 6796.80</w:t>
      </w:r>
      <w:r>
        <w:rPr>
          <w:rFonts w:ascii="仿宋" w:hAnsi="仿宋" w:eastAsia="仿宋" w:cs="仿宋"/>
          <w:color w:val="000000" w:themeColor="text1"/>
          <w:kern w:val="0"/>
          <w:sz w:val="32"/>
          <w:szCs w:val="32"/>
          <w:u w:val="none" w:color="auto"/>
          <w14:textFill>
            <w14:solidFill>
              <w14:schemeClr w14:val="tx1"/>
            </w14:solidFill>
          </w14:textFill>
        </w:rPr>
        <w:t>万元。与上年决算相比，减少</w:t>
      </w:r>
      <w:r>
        <w:rPr>
          <w:rFonts w:eastAsia="Times New Roman"/>
          <w:color w:val="000000" w:themeColor="text1"/>
          <w:kern w:val="0"/>
          <w:sz w:val="32"/>
          <w:szCs w:val="32"/>
          <w:u w:val="none" w:color="auto"/>
          <w:lang w:eastAsia="en-US"/>
          <w14:textFill>
            <w14:solidFill>
              <w14:schemeClr w14:val="tx1"/>
            </w14:solidFill>
          </w14:textFill>
        </w:rPr>
        <w:t>59381.04</w:t>
      </w:r>
      <w:r>
        <w:rPr>
          <w:rFonts w:ascii="仿宋" w:hAnsi="仿宋" w:eastAsia="仿宋" w:cs="仿宋"/>
          <w:color w:val="000000" w:themeColor="text1"/>
          <w:kern w:val="0"/>
          <w:sz w:val="32"/>
          <w:szCs w:val="32"/>
          <w:u w:val="none" w:color="auto"/>
          <w14:textFill>
            <w14:solidFill>
              <w14:schemeClr w14:val="tx1"/>
            </w14:solidFill>
          </w14:textFill>
        </w:rPr>
        <w:t>万元，下降</w:t>
      </w:r>
      <w:r>
        <w:rPr>
          <w:rFonts w:eastAsia="Times New Roman"/>
          <w:color w:val="000000" w:themeColor="text1"/>
          <w:kern w:val="0"/>
          <w:sz w:val="32"/>
          <w:szCs w:val="32"/>
          <w:u w:val="none" w:color="auto"/>
          <w:lang w:eastAsia="en-US"/>
          <w14:textFill>
            <w14:solidFill>
              <w14:schemeClr w14:val="tx1"/>
            </w14:solidFill>
          </w14:textFill>
        </w:rPr>
        <w:t>89.73</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基础设施建设减少</w:t>
      </w:r>
      <w:r>
        <w:rPr>
          <w:rFonts w:ascii="仿宋" w:hAnsi="仿宋" w:eastAsia="仿宋" w:cs="仿宋"/>
          <w:color w:val="000000" w:themeColor="text1"/>
          <w:kern w:val="0"/>
          <w:sz w:val="32"/>
          <w:szCs w:val="32"/>
          <w:u w:val="none" w:color="auto"/>
          <w14:textFill>
            <w14:solidFill>
              <w14:schemeClr w14:val="tx1"/>
            </w14:solidFill>
          </w14:textFill>
        </w:rPr>
        <w:t>。</w:t>
      </w:r>
    </w:p>
    <w:p w14:paraId="1FF5D60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color w:val="000000" w:themeColor="text1"/>
          <w:kern w:val="0"/>
          <w:sz w:val="32"/>
          <w:szCs w:val="32"/>
          <w:u w:val="none" w:color="auto"/>
          <w:lang w:eastAsia="en-US"/>
          <w14:textFill>
            <w14:solidFill>
              <w14:schemeClr w14:val="tx1"/>
            </w14:solidFill>
          </w14:textFill>
        </w:rPr>
        <w:t>2</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使用非财政拨款结余（含专用结余）</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万元。与上年决算相比，增加</w:t>
      </w:r>
      <w:r>
        <w:rPr>
          <w:rFonts w:eastAsia="Times New Roman"/>
          <w:color w:val="000000" w:themeColor="text1"/>
          <w:kern w:val="0"/>
          <w:sz w:val="32"/>
          <w:szCs w:val="32"/>
          <w:u w:val="none" w:color="auto"/>
          <w:lang w:eastAsia="en-US"/>
          <w14:textFill>
            <w14:solidFill>
              <w14:schemeClr w14:val="tx1"/>
            </w14:solidFill>
          </w14:textFill>
        </w:rPr>
        <w:t>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不存在此项此项内容</w:t>
      </w:r>
      <w:r>
        <w:rPr>
          <w:rFonts w:ascii="仿宋" w:hAnsi="仿宋" w:eastAsia="仿宋" w:cs="仿宋"/>
          <w:color w:val="000000" w:themeColor="text1"/>
          <w:kern w:val="0"/>
          <w:sz w:val="32"/>
          <w:szCs w:val="32"/>
          <w:u w:val="none" w:color="auto"/>
          <w14:textFill>
            <w14:solidFill>
              <w14:schemeClr w14:val="tx1"/>
            </w14:solidFill>
          </w14:textFill>
        </w:rPr>
        <w:t>。</w:t>
      </w:r>
    </w:p>
    <w:p w14:paraId="4AC1C6D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color w:val="000000" w:themeColor="text1"/>
          <w:kern w:val="0"/>
          <w:sz w:val="32"/>
          <w:szCs w:val="32"/>
          <w:u w:val="none" w:color="auto"/>
          <w:lang w:eastAsia="en-US"/>
          <w14:textFill>
            <w14:solidFill>
              <w14:schemeClr w14:val="tx1"/>
            </w14:solidFill>
          </w14:textFill>
        </w:rPr>
        <w:t>3</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年初结转和结余</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万元。与上年决算相比，增加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本年无年末结转和结余</w:t>
      </w:r>
      <w:r>
        <w:rPr>
          <w:rFonts w:ascii="仿宋" w:hAnsi="仿宋" w:eastAsia="仿宋" w:cs="仿宋"/>
          <w:color w:val="000000" w:themeColor="text1"/>
          <w:kern w:val="0"/>
          <w:sz w:val="32"/>
          <w:szCs w:val="32"/>
          <w:u w:val="none" w:color="auto"/>
          <w14:textFill>
            <w14:solidFill>
              <w14:schemeClr w14:val="tx1"/>
            </w14:solidFill>
          </w14:textFill>
        </w:rPr>
        <w:t>。</w:t>
      </w:r>
    </w:p>
    <w:p w14:paraId="7F4DAA28">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楷体" w:hAnsi="楷体" w:eastAsia="楷体" w:cs="楷体"/>
          <w:b/>
          <w:bCs/>
          <w:color w:val="000000" w:themeColor="text1"/>
          <w:kern w:val="0"/>
          <w:sz w:val="32"/>
          <w:szCs w:val="32"/>
          <w:u w:val="none" w:color="auto"/>
          <w14:textFill>
            <w14:solidFill>
              <w14:schemeClr w14:val="tx1"/>
            </w14:solidFill>
          </w14:textFill>
        </w:rPr>
        <w:t>（二）支出决算总计</w:t>
      </w:r>
      <w:r>
        <w:rPr>
          <w:rFonts w:eastAsia="Times New Roman"/>
          <w:b/>
          <w:bCs/>
          <w:color w:val="000000" w:themeColor="text1"/>
          <w:kern w:val="0"/>
          <w:sz w:val="32"/>
          <w:szCs w:val="32"/>
          <w:u w:val="none" w:color="auto"/>
          <w:lang w:eastAsia="en-US"/>
          <w14:textFill>
            <w14:solidFill>
              <w14:schemeClr w14:val="tx1"/>
            </w14:solidFill>
          </w14:textFill>
        </w:rPr>
        <w:t xml:space="preserve"> 6796.80</w:t>
      </w:r>
      <w:r>
        <w:rPr>
          <w:rFonts w:ascii="楷体" w:hAnsi="楷体" w:eastAsia="楷体" w:cs="楷体"/>
          <w:b/>
          <w:bCs/>
          <w:color w:val="000000" w:themeColor="text1"/>
          <w:kern w:val="0"/>
          <w:sz w:val="32"/>
          <w:szCs w:val="32"/>
          <w:u w:val="none" w:color="auto"/>
          <w14:textFill>
            <w14:solidFill>
              <w14:schemeClr w14:val="tx1"/>
            </w14:solidFill>
          </w14:textFill>
        </w:rPr>
        <w:t>万元。包括：</w:t>
      </w:r>
    </w:p>
    <w:p w14:paraId="43D89DA4">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color w:val="000000" w:themeColor="text1"/>
          <w:kern w:val="0"/>
          <w:sz w:val="32"/>
          <w:szCs w:val="32"/>
          <w:u w:val="none" w:color="auto"/>
          <w:lang w:eastAsia="en-US"/>
          <w14:textFill>
            <w14:solidFill>
              <w14:schemeClr w14:val="tx1"/>
            </w14:solidFill>
          </w14:textFill>
        </w:rPr>
        <w:t>1</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本年支出决算合计</w:t>
      </w:r>
      <w:r>
        <w:rPr>
          <w:rFonts w:eastAsia="Times New Roman"/>
          <w:color w:val="000000" w:themeColor="text1"/>
          <w:kern w:val="0"/>
          <w:sz w:val="32"/>
          <w:szCs w:val="32"/>
          <w:u w:val="none" w:color="auto"/>
          <w:lang w:eastAsia="en-US"/>
          <w14:textFill>
            <w14:solidFill>
              <w14:schemeClr w14:val="tx1"/>
            </w14:solidFill>
          </w14:textFill>
        </w:rPr>
        <w:t xml:space="preserve"> 6796.80</w:t>
      </w:r>
      <w:r>
        <w:rPr>
          <w:rFonts w:ascii="仿宋" w:hAnsi="仿宋" w:eastAsia="仿宋" w:cs="仿宋"/>
          <w:color w:val="000000" w:themeColor="text1"/>
          <w:kern w:val="0"/>
          <w:sz w:val="32"/>
          <w:szCs w:val="32"/>
          <w:u w:val="none" w:color="auto"/>
          <w14:textFill>
            <w14:solidFill>
              <w14:schemeClr w14:val="tx1"/>
            </w14:solidFill>
          </w14:textFill>
        </w:rPr>
        <w:t>万元。与上年决算相比，减少</w:t>
      </w:r>
      <w:r>
        <w:rPr>
          <w:rFonts w:eastAsia="Times New Roman"/>
          <w:color w:val="000000" w:themeColor="text1"/>
          <w:kern w:val="0"/>
          <w:sz w:val="32"/>
          <w:szCs w:val="32"/>
          <w:u w:val="none" w:color="auto"/>
          <w:lang w:eastAsia="en-US"/>
          <w14:textFill>
            <w14:solidFill>
              <w14:schemeClr w14:val="tx1"/>
            </w14:solidFill>
          </w14:textFill>
        </w:rPr>
        <w:t>59381.04</w:t>
      </w:r>
      <w:r>
        <w:rPr>
          <w:rFonts w:ascii="仿宋" w:hAnsi="仿宋" w:eastAsia="仿宋" w:cs="仿宋"/>
          <w:color w:val="000000" w:themeColor="text1"/>
          <w:kern w:val="0"/>
          <w:sz w:val="32"/>
          <w:szCs w:val="32"/>
          <w:u w:val="none" w:color="auto"/>
          <w14:textFill>
            <w14:solidFill>
              <w14:schemeClr w14:val="tx1"/>
            </w14:solidFill>
          </w14:textFill>
        </w:rPr>
        <w:t>万元，下降</w:t>
      </w:r>
      <w:r>
        <w:rPr>
          <w:rFonts w:eastAsia="Times New Roman"/>
          <w:color w:val="000000" w:themeColor="text1"/>
          <w:kern w:val="0"/>
          <w:sz w:val="32"/>
          <w:szCs w:val="32"/>
          <w:u w:val="none" w:color="auto"/>
          <w:lang w:eastAsia="en-US"/>
          <w14:textFill>
            <w14:solidFill>
              <w14:schemeClr w14:val="tx1"/>
            </w14:solidFill>
          </w14:textFill>
        </w:rPr>
        <w:t>89.73</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基础设施建设减少</w:t>
      </w:r>
      <w:r>
        <w:rPr>
          <w:rFonts w:ascii="仿宋" w:hAnsi="仿宋" w:eastAsia="仿宋" w:cs="仿宋"/>
          <w:color w:val="000000" w:themeColor="text1"/>
          <w:kern w:val="0"/>
          <w:sz w:val="32"/>
          <w:szCs w:val="32"/>
          <w:u w:val="none" w:color="auto"/>
          <w14:textFill>
            <w14:solidFill>
              <w14:schemeClr w14:val="tx1"/>
            </w14:solidFill>
          </w14:textFill>
        </w:rPr>
        <w:t>。</w:t>
      </w:r>
    </w:p>
    <w:p w14:paraId="64F4D8A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color w:val="000000" w:themeColor="text1"/>
          <w:kern w:val="0"/>
          <w:sz w:val="32"/>
          <w:szCs w:val="32"/>
          <w:u w:val="none" w:color="auto"/>
          <w:lang w:eastAsia="en-US"/>
          <w14:textFill>
            <w14:solidFill>
              <w14:schemeClr w14:val="tx1"/>
            </w14:solidFill>
          </w14:textFill>
        </w:rPr>
        <w:t>2</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结余分配</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万元。与上年决算相比，增加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不存在此项原因</w:t>
      </w:r>
      <w:r>
        <w:rPr>
          <w:rFonts w:ascii="仿宋" w:hAnsi="仿宋" w:eastAsia="仿宋" w:cs="仿宋"/>
          <w:color w:val="000000" w:themeColor="text1"/>
          <w:kern w:val="0"/>
          <w:sz w:val="32"/>
          <w:szCs w:val="32"/>
          <w:u w:val="none" w:color="auto"/>
          <w14:textFill>
            <w14:solidFill>
              <w14:schemeClr w14:val="tx1"/>
            </w14:solidFill>
          </w14:textFill>
        </w:rPr>
        <w:t>。</w:t>
      </w:r>
    </w:p>
    <w:p w14:paraId="644518E6">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color w:val="000000" w:themeColor="text1"/>
          <w:kern w:val="0"/>
          <w:sz w:val="32"/>
          <w:szCs w:val="32"/>
          <w:u w:val="none" w:color="auto"/>
          <w:lang w:eastAsia="en-US"/>
          <w14:textFill>
            <w14:solidFill>
              <w14:schemeClr w14:val="tx1"/>
            </w14:solidFill>
          </w14:textFill>
        </w:rPr>
        <w:t>3</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年末结转和结余</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万元。与上年决算相比，增加</w:t>
      </w:r>
      <w:r>
        <w:rPr>
          <w:rFonts w:eastAsia="Times New Roman"/>
          <w:color w:val="000000" w:themeColor="text1"/>
          <w:kern w:val="0"/>
          <w:sz w:val="32"/>
          <w:szCs w:val="32"/>
          <w:u w:val="none" w:color="auto"/>
          <w14:textFill>
            <w14:solidFill>
              <w14:schemeClr w14:val="tx1"/>
            </w14:solidFill>
          </w14:textFill>
        </w:rPr>
        <w:t>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本年无年末结转和结余</w:t>
      </w:r>
      <w:r>
        <w:rPr>
          <w:rFonts w:ascii="仿宋" w:hAnsi="仿宋" w:eastAsia="仿宋" w:cs="仿宋"/>
          <w:color w:val="000000" w:themeColor="text1"/>
          <w:kern w:val="0"/>
          <w:sz w:val="32"/>
          <w:szCs w:val="32"/>
          <w:u w:val="none" w:color="auto"/>
          <w14:textFill>
            <w14:solidFill>
              <w14:schemeClr w14:val="tx1"/>
            </w14:solidFill>
          </w14:textFill>
        </w:rPr>
        <w:t>。</w:t>
      </w:r>
    </w:p>
    <w:p w14:paraId="3E4D5D72">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二、收入决算情况说明</w:t>
      </w:r>
    </w:p>
    <w:p w14:paraId="33D733BC">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 xml:space="preserve">内蒙古自治区巴彦淖尔市城市新区发展中心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年度本年收入决算合计</w:t>
      </w:r>
      <w:r>
        <w:rPr>
          <w:rFonts w:eastAsia="Times New Roman"/>
          <w:color w:val="000000" w:themeColor="text1"/>
          <w:kern w:val="0"/>
          <w:sz w:val="32"/>
          <w:szCs w:val="32"/>
          <w:u w:val="none" w:color="auto"/>
          <w:lang w:eastAsia="en-US"/>
          <w14:textFill>
            <w14:solidFill>
              <w14:schemeClr w14:val="tx1"/>
            </w14:solidFill>
          </w14:textFill>
        </w:rPr>
        <w:t xml:space="preserve"> 6796.80</w:t>
      </w:r>
      <w:r>
        <w:rPr>
          <w:rFonts w:ascii="仿宋" w:hAnsi="仿宋" w:eastAsia="仿宋" w:cs="仿宋"/>
          <w:color w:val="000000" w:themeColor="text1"/>
          <w:kern w:val="0"/>
          <w:sz w:val="32"/>
          <w:szCs w:val="32"/>
          <w:u w:val="none" w:color="auto"/>
          <w14:textFill>
            <w14:solidFill>
              <w14:schemeClr w14:val="tx1"/>
            </w14:solidFill>
          </w14:textFill>
        </w:rPr>
        <w:t>万元，其中：</w:t>
      </w:r>
    </w:p>
    <w:p w14:paraId="024150E0">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一般公共预算财政拨款收入</w:t>
      </w:r>
      <w:r>
        <w:rPr>
          <w:rFonts w:eastAsia="Times New Roman"/>
          <w:color w:val="000000" w:themeColor="text1"/>
          <w:kern w:val="0"/>
          <w:sz w:val="32"/>
          <w:szCs w:val="32"/>
          <w:u w:val="none" w:color="auto"/>
          <w:lang w:eastAsia="en-US"/>
          <w14:textFill>
            <w14:solidFill>
              <w14:schemeClr w14:val="tx1"/>
            </w14:solidFill>
          </w14:textFill>
        </w:rPr>
        <w:t xml:space="preserve"> 6396.80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94.11</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227E1B2B">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政府性基金预算财政拨款收入</w:t>
      </w:r>
      <w:r>
        <w:rPr>
          <w:rFonts w:eastAsia="Times New Roman"/>
          <w:color w:val="000000" w:themeColor="text1"/>
          <w:kern w:val="0"/>
          <w:sz w:val="32"/>
          <w:szCs w:val="32"/>
          <w:u w:val="none" w:color="auto"/>
          <w:lang w:eastAsia="en-US"/>
          <w14:textFill>
            <w14:solidFill>
              <w14:schemeClr w14:val="tx1"/>
            </w14:solidFill>
          </w14:textFill>
        </w:rPr>
        <w:t xml:space="preserve"> 400.00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5.89</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137DDE18">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国有资本经营预算财政拨款收入</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0DED253E">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上级补助收入</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57561B03">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事业收入</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67D5E0A6">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经营收入</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62572C20">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附属单位上缴收入</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79B6A162">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其他收入</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35A7CB0D">
      <w:pPr>
        <w:widowControl/>
        <w:spacing w:before="240" w:after="240"/>
        <w:rPr>
          <w:rFonts w:ascii="Times New Roman" w:hAnsi="Times New Roman" w:eastAsia="Times New Roman" w:cs="Times New Roman"/>
          <w:color w:val="000000" w:themeColor="text1"/>
          <w:kern w:val="0"/>
          <w:sz w:val="24"/>
          <w:u w:val="none" w:color="auto"/>
          <w14:textFill>
            <w14:solidFill>
              <w14:schemeClr w14:val="tx1"/>
            </w14:solidFill>
          </w14:textFill>
        </w:rPr>
      </w:pPr>
    </w:p>
    <w:p w14:paraId="68CE19E1">
      <w:pPr>
        <w:widowControl/>
        <w:spacing w:before="240" w:after="240"/>
        <w:jc w:val="center"/>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Times New Roman" w:hAnsi="Times New Roman" w:eastAsia="Times New Roman" w:cs="Times New Roman"/>
          <w:strike w:val="0"/>
          <w:color w:val="000000" w:themeColor="text1"/>
          <w:kern w:val="0"/>
          <w:sz w:val="24"/>
          <w:u w:val="none" w:color="auto"/>
          <w14:textFill>
            <w14:solidFill>
              <w14:schemeClr w14:val="tx1"/>
            </w14:solidFill>
          </w14:textFill>
        </w:rPr>
        <w:drawing>
          <wp:inline distT="0" distB="0" distL="114300" distR="114300">
            <wp:extent cx="5638165" cy="3524250"/>
            <wp:effectExtent l="0" t="0" r="6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638165" cy="3524250"/>
                    </a:xfrm>
                    <a:prstGeom prst="rect">
                      <a:avLst/>
                    </a:prstGeom>
                    <a:noFill/>
                    <a:ln>
                      <a:noFill/>
                    </a:ln>
                  </pic:spPr>
                </pic:pic>
              </a:graphicData>
            </a:graphic>
          </wp:inline>
        </w:drawing>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p>
    <w:p w14:paraId="2449E650">
      <w:pPr>
        <w:widowControl/>
        <w:spacing w:before="240" w:after="240"/>
        <w:jc w:val="center"/>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27"/>
          <w:szCs w:val="27"/>
          <w:u w:val="none" w:color="auto"/>
          <w14:textFill>
            <w14:solidFill>
              <w14:schemeClr w14:val="tx1"/>
            </w14:solidFill>
          </w14:textFill>
        </w:rPr>
        <w:t>图</w:t>
      </w:r>
      <w:r>
        <w:rPr>
          <w:rFonts w:ascii="times_new_roman" w:hAnsi="times_new_roman" w:eastAsia="times_new_roman" w:cs="times_new_roman"/>
          <w:color w:val="000000" w:themeColor="text1"/>
          <w:kern w:val="0"/>
          <w:sz w:val="27"/>
          <w:szCs w:val="27"/>
          <w:u w:val="none" w:color="auto"/>
          <w14:textFill>
            <w14:solidFill>
              <w14:schemeClr w14:val="tx1"/>
            </w14:solidFill>
          </w14:textFill>
        </w:rPr>
        <w:t>1</w:t>
      </w:r>
      <w:r>
        <w:rPr>
          <w:rFonts w:ascii="仿宋" w:hAnsi="仿宋" w:eastAsia="仿宋" w:cs="仿宋"/>
          <w:color w:val="000000" w:themeColor="text1"/>
          <w:kern w:val="0"/>
          <w:sz w:val="27"/>
          <w:szCs w:val="27"/>
          <w:u w:val="none" w:color="auto"/>
          <w14:textFill>
            <w14:solidFill>
              <w14:schemeClr w14:val="tx1"/>
            </w14:solidFill>
          </w14:textFill>
        </w:rPr>
        <w:t>.收入决算图</w:t>
      </w:r>
    </w:p>
    <w:p w14:paraId="244FBFC3">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三、支出决算情况说明</w:t>
      </w:r>
    </w:p>
    <w:p w14:paraId="1D5992AA">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年度本年支出决算合计</w:t>
      </w:r>
      <w:r>
        <w:rPr>
          <w:rFonts w:eastAsia="Times New Roman"/>
          <w:color w:val="000000" w:themeColor="text1"/>
          <w:kern w:val="0"/>
          <w:sz w:val="32"/>
          <w:szCs w:val="32"/>
          <w:u w:val="none" w:color="auto"/>
          <w:lang w:eastAsia="en-US"/>
          <w14:textFill>
            <w14:solidFill>
              <w14:schemeClr w14:val="tx1"/>
            </w14:solidFill>
          </w14:textFill>
        </w:rPr>
        <w:t xml:space="preserve"> 6796.80</w:t>
      </w:r>
      <w:r>
        <w:rPr>
          <w:rFonts w:ascii="仿宋" w:hAnsi="仿宋" w:eastAsia="仿宋" w:cs="仿宋"/>
          <w:color w:val="000000" w:themeColor="text1"/>
          <w:kern w:val="0"/>
          <w:sz w:val="32"/>
          <w:szCs w:val="32"/>
          <w:u w:val="none" w:color="auto"/>
          <w14:textFill>
            <w14:solidFill>
              <w14:schemeClr w14:val="tx1"/>
            </w14:solidFill>
          </w14:textFill>
        </w:rPr>
        <w:t>万元，其中：</w:t>
      </w:r>
    </w:p>
    <w:p w14:paraId="4F8F96B5">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基本支出</w:t>
      </w:r>
      <w:r>
        <w:rPr>
          <w:rFonts w:eastAsia="Times New Roman"/>
          <w:color w:val="000000" w:themeColor="text1"/>
          <w:kern w:val="0"/>
          <w:sz w:val="32"/>
          <w:szCs w:val="32"/>
          <w:u w:val="none" w:color="auto"/>
          <w:lang w:eastAsia="en-US"/>
          <w14:textFill>
            <w14:solidFill>
              <w14:schemeClr w14:val="tx1"/>
            </w14:solidFill>
          </w14:textFill>
        </w:rPr>
        <w:t xml:space="preserve"> 221.97</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3.27</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748A95B2">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项目支出</w:t>
      </w:r>
      <w:r>
        <w:rPr>
          <w:rFonts w:eastAsia="Times New Roman"/>
          <w:color w:val="000000" w:themeColor="text1"/>
          <w:kern w:val="0"/>
          <w:sz w:val="32"/>
          <w:szCs w:val="32"/>
          <w:u w:val="none" w:color="auto"/>
          <w:lang w:eastAsia="en-US"/>
          <w14:textFill>
            <w14:solidFill>
              <w14:schemeClr w14:val="tx1"/>
            </w14:solidFill>
          </w14:textFill>
        </w:rPr>
        <w:t xml:space="preserve"> 6574.83</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96.73</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5390A7F0">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上缴上级支出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1ECCDDA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经营支出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5DBE64D3">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对附属单位补助支出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59577D76">
      <w:pPr>
        <w:widowControl/>
        <w:spacing w:before="240" w:after="240"/>
        <w:jc w:val="center"/>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Times New Roman" w:hAnsi="Times New Roman" w:eastAsia="Times New Roman" w:cs="Times New Roman"/>
          <w:strike w:val="0"/>
          <w:color w:val="000000" w:themeColor="text1"/>
          <w:kern w:val="0"/>
          <w:sz w:val="24"/>
          <w:u w:val="none" w:color="auto"/>
          <w14:textFill>
            <w14:solidFill>
              <w14:schemeClr w14:val="tx1"/>
            </w14:solidFill>
          </w14:textFill>
        </w:rPr>
        <w:drawing>
          <wp:inline distT="0" distB="0" distL="114300" distR="114300">
            <wp:extent cx="5131435" cy="3207385"/>
            <wp:effectExtent l="0" t="0" r="12065" b="1206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131435" cy="3207385"/>
                    </a:xfrm>
                    <a:prstGeom prst="rect">
                      <a:avLst/>
                    </a:prstGeom>
                    <a:noFill/>
                    <a:ln>
                      <a:noFill/>
                    </a:ln>
                  </pic:spPr>
                </pic:pic>
              </a:graphicData>
            </a:graphic>
          </wp:inline>
        </w:drawing>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p>
    <w:p w14:paraId="193899FE">
      <w:pPr>
        <w:widowControl/>
        <w:spacing w:before="240" w:after="240"/>
        <w:jc w:val="center"/>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27"/>
          <w:szCs w:val="27"/>
          <w:u w:val="none" w:color="auto"/>
          <w14:textFill>
            <w14:solidFill>
              <w14:schemeClr w14:val="tx1"/>
            </w14:solidFill>
          </w14:textFill>
        </w:rPr>
        <w:t>图2.支出决算图</w:t>
      </w:r>
    </w:p>
    <w:p w14:paraId="2542214C">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四、财政拨款收入支出决算总体情况说明</w:t>
      </w:r>
    </w:p>
    <w:p w14:paraId="450FB4A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年度财政拨款收入、支出决算总计均为</w:t>
      </w:r>
      <w:r>
        <w:rPr>
          <w:rFonts w:eastAsia="Times New Roman"/>
          <w:color w:val="000000" w:themeColor="text1"/>
          <w:kern w:val="0"/>
          <w:sz w:val="32"/>
          <w:szCs w:val="32"/>
          <w:u w:val="none" w:color="auto"/>
          <w:lang w:eastAsia="en-US"/>
          <w14:textFill>
            <w14:solidFill>
              <w14:schemeClr w14:val="tx1"/>
            </w14:solidFill>
          </w14:textFill>
        </w:rPr>
        <w:t xml:space="preserve"> 6796.80</w:t>
      </w:r>
      <w:r>
        <w:rPr>
          <w:rFonts w:ascii="仿宋" w:hAnsi="仿宋" w:eastAsia="仿宋" w:cs="仿宋"/>
          <w:color w:val="000000" w:themeColor="text1"/>
          <w:kern w:val="0"/>
          <w:sz w:val="32"/>
          <w:szCs w:val="32"/>
          <w:u w:val="none" w:color="auto"/>
          <w14:textFill>
            <w14:solidFill>
              <w14:schemeClr w14:val="tx1"/>
            </w14:solidFill>
          </w14:textFill>
        </w:rPr>
        <w:t>万元，与年初预算相比，收、支总计各增加减少</w:t>
      </w:r>
      <w:r>
        <w:rPr>
          <w:rFonts w:eastAsia="Times New Roman"/>
          <w:color w:val="000000" w:themeColor="text1"/>
          <w:kern w:val="0"/>
          <w:sz w:val="32"/>
          <w:szCs w:val="32"/>
          <w:u w:val="none" w:color="auto"/>
          <w:lang w:eastAsia="en-US"/>
          <w14:textFill>
            <w14:solidFill>
              <w14:schemeClr w14:val="tx1"/>
            </w14:solidFill>
          </w14:textFill>
        </w:rPr>
        <w:t xml:space="preserve"> 4658.81</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217.91</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市财政追加双河区基础设施建设项目资金</w:t>
      </w:r>
      <w:r>
        <w:rPr>
          <w:rFonts w:ascii="仿宋" w:hAnsi="仿宋" w:eastAsia="仿宋" w:cs="仿宋"/>
          <w:color w:val="000000" w:themeColor="text1"/>
          <w:kern w:val="0"/>
          <w:sz w:val="32"/>
          <w:szCs w:val="32"/>
          <w:u w:val="none" w:color="auto"/>
          <w14:textFill>
            <w14:solidFill>
              <w14:schemeClr w14:val="tx1"/>
            </w14:solidFill>
          </w14:textFill>
        </w:rPr>
        <w:t>；与上年决算相比，收、支总计各减少</w:t>
      </w:r>
      <w:r>
        <w:rPr>
          <w:rFonts w:eastAsia="Times New Roman"/>
          <w:color w:val="000000" w:themeColor="text1"/>
          <w:kern w:val="0"/>
          <w:sz w:val="32"/>
          <w:szCs w:val="32"/>
          <w:u w:val="none" w:color="auto"/>
          <w:lang w:eastAsia="en-US"/>
          <w14:textFill>
            <w14:solidFill>
              <w14:schemeClr w14:val="tx1"/>
            </w14:solidFill>
          </w14:textFill>
        </w:rPr>
        <w:t>59381.04</w:t>
      </w:r>
      <w:r>
        <w:rPr>
          <w:rFonts w:ascii="仿宋" w:hAnsi="仿宋" w:eastAsia="仿宋" w:cs="仿宋"/>
          <w:color w:val="000000" w:themeColor="text1"/>
          <w:kern w:val="0"/>
          <w:sz w:val="32"/>
          <w:szCs w:val="32"/>
          <w:u w:val="none" w:color="auto"/>
          <w14:textFill>
            <w14:solidFill>
              <w14:schemeClr w14:val="tx1"/>
            </w14:solidFill>
          </w14:textFill>
        </w:rPr>
        <w:t>万元，下降</w:t>
      </w:r>
      <w:r>
        <w:rPr>
          <w:rFonts w:eastAsia="Times New Roman"/>
          <w:color w:val="000000" w:themeColor="text1"/>
          <w:kern w:val="0"/>
          <w:sz w:val="32"/>
          <w:szCs w:val="32"/>
          <w:u w:val="none" w:color="auto"/>
          <w:lang w:eastAsia="en-US"/>
          <w14:textFill>
            <w14:solidFill>
              <w14:schemeClr w14:val="tx1"/>
            </w14:solidFill>
          </w14:textFill>
        </w:rPr>
        <w:t>89.73</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双河区基础设施建设减少</w:t>
      </w:r>
      <w:r>
        <w:rPr>
          <w:rFonts w:ascii="仿宋" w:hAnsi="仿宋" w:eastAsia="仿宋" w:cs="仿宋"/>
          <w:color w:val="000000" w:themeColor="text1"/>
          <w:kern w:val="0"/>
          <w:sz w:val="32"/>
          <w:szCs w:val="32"/>
          <w:u w:val="none" w:color="auto"/>
          <w14:textFill>
            <w14:solidFill>
              <w14:schemeClr w14:val="tx1"/>
            </w14:solidFill>
          </w14:textFill>
        </w:rPr>
        <w:t>。</w:t>
      </w:r>
    </w:p>
    <w:p w14:paraId="72862437">
      <w:pPr>
        <w:pStyle w:val="29"/>
        <w:widowControl/>
        <w:spacing w:before="240" w:after="240" w:line="600" w:lineRule="atLeast"/>
        <w:ind w:firstLine="643"/>
        <w:jc w:val="left"/>
        <w:rPr>
          <w:rFonts w:ascii="黑体" w:hAnsi="黑体" w:eastAsia="黑体" w:cs="黑体"/>
          <w:b/>
          <w:bCs/>
          <w:color w:val="000000" w:themeColor="text1"/>
          <w:kern w:val="0"/>
          <w:sz w:val="32"/>
          <w:szCs w:val="32"/>
          <w:u w:val="none" w:color="auto"/>
          <w14:textFill>
            <w14:solidFill>
              <w14:schemeClr w14:val="tx1"/>
            </w14:solidFill>
          </w14:textFill>
        </w:rPr>
      </w:pPr>
    </w:p>
    <w:p w14:paraId="4262BBD8">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五、一般公共预算财政拨款支出决算情况说明</w:t>
      </w:r>
    </w:p>
    <w:p w14:paraId="1788792A">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年度一般公共预算财政拨款支出决算</w:t>
      </w:r>
      <w:r>
        <w:rPr>
          <w:rFonts w:eastAsia="Times New Roman"/>
          <w:color w:val="000000" w:themeColor="text1"/>
          <w:kern w:val="0"/>
          <w:sz w:val="32"/>
          <w:szCs w:val="32"/>
          <w:u w:val="none" w:color="auto"/>
          <w:lang w:eastAsia="en-US"/>
          <w14:textFill>
            <w14:solidFill>
              <w14:schemeClr w14:val="tx1"/>
            </w14:solidFill>
          </w14:textFill>
        </w:rPr>
        <w:t xml:space="preserve"> 6396.80</w:t>
      </w:r>
      <w:r>
        <w:rPr>
          <w:rFonts w:ascii="仿宋" w:hAnsi="仿宋" w:eastAsia="仿宋" w:cs="仿宋"/>
          <w:color w:val="000000" w:themeColor="text1"/>
          <w:kern w:val="0"/>
          <w:sz w:val="32"/>
          <w:szCs w:val="32"/>
          <w:u w:val="none" w:color="auto"/>
          <w14:textFill>
            <w14:solidFill>
              <w14:schemeClr w14:val="tx1"/>
            </w14:solidFill>
          </w14:textFill>
        </w:rPr>
        <w:t>万元。与年初预算</w:t>
      </w:r>
      <w:r>
        <w:rPr>
          <w:rFonts w:eastAsia="Times New Roman"/>
          <w:color w:val="000000" w:themeColor="text1"/>
          <w:kern w:val="0"/>
          <w:sz w:val="32"/>
          <w:szCs w:val="32"/>
          <w:u w:val="none" w:color="auto"/>
          <w:lang w:eastAsia="en-US"/>
          <w14:textFill>
            <w14:solidFill>
              <w14:schemeClr w14:val="tx1"/>
            </w14:solidFill>
          </w14:textFill>
        </w:rPr>
        <w:t xml:space="preserve"> 2137.99</w:t>
      </w:r>
      <w:r>
        <w:rPr>
          <w:rFonts w:ascii="仿宋" w:hAnsi="仿宋" w:eastAsia="仿宋" w:cs="仿宋"/>
          <w:color w:val="000000" w:themeColor="text1"/>
          <w:kern w:val="0"/>
          <w:sz w:val="32"/>
          <w:szCs w:val="32"/>
          <w:u w:val="none" w:color="auto"/>
          <w14:textFill>
            <w14:solidFill>
              <w14:schemeClr w14:val="tx1"/>
            </w14:solidFill>
          </w14:textFill>
        </w:rPr>
        <w:t>万元相比，完成年初预算的</w:t>
      </w:r>
      <w:r>
        <w:rPr>
          <w:rFonts w:eastAsia="Times New Roman"/>
          <w:color w:val="000000" w:themeColor="text1"/>
          <w:kern w:val="0"/>
          <w:sz w:val="32"/>
          <w:szCs w:val="32"/>
          <w:u w:val="none" w:color="auto"/>
          <w:lang w:eastAsia="en-US"/>
          <w14:textFill>
            <w14:solidFill>
              <w14:schemeClr w14:val="tx1"/>
            </w14:solidFill>
          </w14:textFill>
        </w:rPr>
        <w:t xml:space="preserve"> 299.20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。其中：</w:t>
      </w:r>
    </w:p>
    <w:p w14:paraId="3DCC73CD">
      <w:pPr>
        <w:widowControl/>
        <w:spacing w:before="240" w:after="240"/>
        <w:ind w:firstLine="640" w:firstLineChars="200"/>
        <w:jc w:val="left"/>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b/>
          <w:bCs/>
          <w:color w:val="000000" w:themeColor="text1"/>
          <w:kern w:val="0"/>
          <w:sz w:val="32"/>
          <w:szCs w:val="32"/>
          <w:u w:val="none" w:color="auto"/>
          <w14:textFill>
            <w14:solidFill>
              <w14:schemeClr w14:val="tx1"/>
            </w14:solidFill>
          </w14:textFill>
        </w:rPr>
        <w:t>（</w:t>
      </w:r>
      <w:r>
        <w:rPr>
          <w:rFonts w:hint="eastAsia" w:ascii="仿宋" w:hAnsi="仿宋" w:eastAsia="仿宋" w:cs="仿宋"/>
          <w:b/>
          <w:bCs/>
          <w:color w:val="000000" w:themeColor="text1"/>
          <w:kern w:val="0"/>
          <w:sz w:val="32"/>
          <w:szCs w:val="32"/>
          <w:u w:val="none" w:color="auto"/>
          <w:lang w:eastAsia="zh-CN"/>
          <w14:textFill>
            <w14:solidFill>
              <w14:schemeClr w14:val="tx1"/>
            </w14:solidFill>
          </w14:textFill>
        </w:rPr>
        <w:t>一</w:t>
      </w:r>
      <w:r>
        <w:rPr>
          <w:rFonts w:hint="eastAsia" w:ascii="仿宋" w:hAnsi="仿宋" w:eastAsia="仿宋" w:cs="仿宋"/>
          <w:b/>
          <w:bCs/>
          <w:color w:val="000000" w:themeColor="text1"/>
          <w:kern w:val="0"/>
          <w:sz w:val="32"/>
          <w:szCs w:val="32"/>
          <w:u w:val="none" w:color="auto"/>
          <w14:textFill>
            <w14:solidFill>
              <w14:schemeClr w14:val="tx1"/>
            </w14:solidFill>
          </w14:textFill>
        </w:rPr>
        <w:t>）社会保障和就业支出（类）</w:t>
      </w:r>
    </w:p>
    <w:p w14:paraId="77D55C64">
      <w:pPr>
        <w:widowControl/>
        <w:spacing w:before="240" w:after="240"/>
        <w:ind w:firstLine="640" w:firstLineChars="200"/>
        <w:jc w:val="left"/>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color w:val="000000" w:themeColor="text1"/>
          <w:kern w:val="0"/>
          <w:sz w:val="32"/>
          <w:szCs w:val="32"/>
          <w:u w:val="none" w:color="auto"/>
          <w14:textFill>
            <w14:solidFill>
              <w14:schemeClr w14:val="tx1"/>
            </w14:solidFill>
          </w14:textFill>
        </w:rPr>
        <w:t xml:space="preserve">社会保障和就业支出类决算数为 </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25.95</w:t>
      </w:r>
      <w:r>
        <w:rPr>
          <w:rFonts w:hint="eastAsia" w:ascii="仿宋" w:hAnsi="仿宋" w:eastAsia="仿宋" w:cs="仿宋"/>
          <w:color w:val="000000" w:themeColor="text1"/>
          <w:kern w:val="0"/>
          <w:sz w:val="32"/>
          <w:szCs w:val="32"/>
          <w:u w:val="none" w:color="auto"/>
          <w14:textFill>
            <w14:solidFill>
              <w14:schemeClr w14:val="tx1"/>
            </w14:solidFill>
          </w14:textFill>
        </w:rPr>
        <w:t>万元，与年初预算相比</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增加</w:t>
      </w:r>
      <w:r>
        <w:rPr>
          <w:rFonts w:hint="eastAsia" w:ascii="仿宋" w:hAnsi="仿宋" w:eastAsia="仿宋" w:cs="仿宋"/>
          <w:color w:val="000000" w:themeColor="text1"/>
          <w:kern w:val="0"/>
          <w:sz w:val="32"/>
          <w:szCs w:val="32"/>
          <w:u w:val="none" w:color="auto"/>
          <w14:textFill>
            <w14:solidFill>
              <w14:schemeClr w14:val="tx1"/>
            </w14:solidFill>
          </w14:textFill>
        </w:rPr>
        <w:t xml:space="preserve"> </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0.15</w:t>
      </w:r>
      <w:r>
        <w:rPr>
          <w:rFonts w:hint="eastAsia" w:ascii="仿宋" w:hAnsi="仿宋" w:eastAsia="仿宋" w:cs="仿宋"/>
          <w:color w:val="000000" w:themeColor="text1"/>
          <w:kern w:val="0"/>
          <w:sz w:val="32"/>
          <w:szCs w:val="32"/>
          <w:u w:val="none" w:color="auto"/>
          <w14:textFill>
            <w14:solidFill>
              <w14:schemeClr w14:val="tx1"/>
            </w14:solidFill>
          </w14:textFill>
        </w:rPr>
        <w:t>万元。其中：</w:t>
      </w:r>
    </w:p>
    <w:p w14:paraId="534A3428">
      <w:pPr>
        <w:widowControl/>
        <w:numPr>
          <w:ilvl w:val="0"/>
          <w:numId w:val="0"/>
        </w:numPr>
        <w:spacing w:before="240" w:after="240"/>
        <w:ind w:firstLine="640" w:firstLineChars="200"/>
        <w:jc w:val="left"/>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w:t>
      </w:r>
      <w:r>
        <w:rPr>
          <w:rFonts w:hint="eastAsia" w:ascii="仿宋" w:hAnsi="仿宋" w:eastAsia="仿宋" w:cs="仿宋"/>
          <w:color w:val="000000" w:themeColor="text1"/>
          <w:kern w:val="0"/>
          <w:sz w:val="32"/>
          <w:szCs w:val="32"/>
          <w:u w:val="none" w:color="auto"/>
          <w14:textFill>
            <w14:solidFill>
              <w14:schemeClr w14:val="tx1"/>
            </w14:solidFill>
          </w14:textFill>
        </w:rPr>
        <w:t>行政事业单位养老支出（款）事业单位离退休（项）。年初预算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9.24</w:t>
      </w:r>
      <w:r>
        <w:rPr>
          <w:rFonts w:hint="eastAsia" w:ascii="仿宋" w:hAnsi="仿宋" w:eastAsia="仿宋" w:cs="仿宋"/>
          <w:color w:val="000000" w:themeColor="text1"/>
          <w:kern w:val="0"/>
          <w:sz w:val="32"/>
          <w:szCs w:val="32"/>
          <w:u w:val="none" w:color="auto"/>
          <w14:textFill>
            <w14:solidFill>
              <w14:schemeClr w14:val="tx1"/>
            </w14:solidFill>
          </w14:textFill>
        </w:rPr>
        <w:t>万元，支出决算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6.23</w:t>
      </w:r>
      <w:r>
        <w:rPr>
          <w:rFonts w:hint="eastAsia" w:ascii="仿宋" w:hAnsi="仿宋" w:eastAsia="仿宋" w:cs="仿宋"/>
          <w:color w:val="000000" w:themeColor="text1"/>
          <w:kern w:val="0"/>
          <w:sz w:val="32"/>
          <w:szCs w:val="32"/>
          <w:u w:val="none" w:color="auto"/>
          <w14:textFill>
            <w14:solidFill>
              <w14:schemeClr w14:val="tx1"/>
            </w14:solidFill>
          </w14:textFill>
        </w:rPr>
        <w:t>万元，完成年初预算的</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67</w:t>
      </w:r>
      <w:r>
        <w:rPr>
          <w:rFonts w:hint="eastAsia" w:ascii="仿宋" w:hAnsi="仿宋" w:eastAsia="仿宋" w:cs="仿宋"/>
          <w:color w:val="000000" w:themeColor="text1"/>
          <w:kern w:val="0"/>
          <w:sz w:val="32"/>
          <w:szCs w:val="32"/>
          <w:u w:val="none" w:color="auto"/>
          <w14:textFill>
            <w14:solidFill>
              <w14:schemeClr w14:val="tx1"/>
            </w14:solidFill>
          </w14:textFill>
        </w:rPr>
        <w:t>%。决算数与年初预算数的差异原因：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退休人员工资减少</w:t>
      </w:r>
      <w:r>
        <w:rPr>
          <w:rFonts w:hint="eastAsia" w:ascii="仿宋" w:hAnsi="仿宋" w:eastAsia="仿宋" w:cs="仿宋"/>
          <w:color w:val="000000" w:themeColor="text1"/>
          <w:kern w:val="0"/>
          <w:sz w:val="32"/>
          <w:szCs w:val="32"/>
          <w:u w:val="none" w:color="auto"/>
          <w14:textFill>
            <w14:solidFill>
              <w14:schemeClr w14:val="tx1"/>
            </w14:solidFill>
          </w14:textFill>
        </w:rPr>
        <w:t>。</w:t>
      </w:r>
    </w:p>
    <w:p w14:paraId="44FF3D8F">
      <w:pPr>
        <w:widowControl/>
        <w:numPr>
          <w:ilvl w:val="0"/>
          <w:numId w:val="0"/>
        </w:numPr>
        <w:spacing w:before="240" w:after="240"/>
        <w:ind w:leftChars="0" w:firstLine="640" w:firstLineChars="200"/>
        <w:jc w:val="left"/>
        <w:rPr>
          <w:rFonts w:hint="eastAsia" w:ascii="仿宋" w:hAnsi="仿宋" w:eastAsia="仿宋" w:cs="仿宋"/>
          <w:b w:val="0"/>
          <w:bCs w:val="0"/>
          <w:color w:val="000000" w:themeColor="text1"/>
          <w:kern w:val="0"/>
          <w:sz w:val="32"/>
          <w:szCs w:val="32"/>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2.</w:t>
      </w:r>
      <w:r>
        <w:rPr>
          <w:rFonts w:hint="eastAsia" w:ascii="仿宋" w:hAnsi="仿宋" w:eastAsia="仿宋" w:cs="仿宋"/>
          <w:color w:val="000000" w:themeColor="text1"/>
          <w:kern w:val="0"/>
          <w:sz w:val="32"/>
          <w:szCs w:val="32"/>
          <w:u w:val="none" w:color="auto"/>
          <w14:textFill>
            <w14:solidFill>
              <w14:schemeClr w14:val="tx1"/>
            </w14:solidFill>
          </w14:textFill>
        </w:rPr>
        <w:t>行政事业单位养老支出（款）机关事业单位基本养老保险缴费支出（项）。年初预算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15.81</w:t>
      </w:r>
      <w:r>
        <w:rPr>
          <w:rFonts w:hint="eastAsia" w:ascii="仿宋" w:hAnsi="仿宋" w:eastAsia="仿宋" w:cs="仿宋"/>
          <w:color w:val="000000" w:themeColor="text1"/>
          <w:kern w:val="0"/>
          <w:sz w:val="32"/>
          <w:szCs w:val="32"/>
          <w:u w:val="none" w:color="auto"/>
          <w14:textFill>
            <w14:solidFill>
              <w14:schemeClr w14:val="tx1"/>
            </w14:solidFill>
          </w14:textFill>
        </w:rPr>
        <w:t>万元，支出决算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18.89</w:t>
      </w:r>
      <w:r>
        <w:rPr>
          <w:rFonts w:hint="eastAsia" w:ascii="仿宋" w:hAnsi="仿宋" w:eastAsia="仿宋" w:cs="仿宋"/>
          <w:color w:val="000000" w:themeColor="text1"/>
          <w:kern w:val="0"/>
          <w:sz w:val="32"/>
          <w:szCs w:val="32"/>
          <w:u w:val="none" w:color="auto"/>
          <w14:textFill>
            <w14:solidFill>
              <w14:schemeClr w14:val="tx1"/>
            </w14:solidFill>
          </w14:textFill>
        </w:rPr>
        <w:t>万元，完成年初预算的</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119</w:t>
      </w:r>
      <w:r>
        <w:rPr>
          <w:rFonts w:hint="eastAsia" w:ascii="仿宋" w:hAnsi="仿宋" w:eastAsia="仿宋" w:cs="仿宋"/>
          <w:color w:val="000000" w:themeColor="text1"/>
          <w:kern w:val="0"/>
          <w:sz w:val="32"/>
          <w:szCs w:val="32"/>
          <w:u w:val="none" w:color="auto"/>
          <w14:textFill>
            <w14:solidFill>
              <w14:schemeClr w14:val="tx1"/>
            </w14:solidFill>
          </w14:textFill>
        </w:rPr>
        <w:t>%。决算数与年初预算数的差异原因：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人员增加</w:t>
      </w:r>
      <w:r>
        <w:rPr>
          <w:rFonts w:hint="eastAsia" w:ascii="仿宋" w:hAnsi="仿宋" w:eastAsia="仿宋" w:cs="仿宋"/>
          <w:color w:val="000000" w:themeColor="text1"/>
          <w:kern w:val="0"/>
          <w:sz w:val="32"/>
          <w:szCs w:val="32"/>
          <w:u w:val="none" w:color="auto"/>
          <w14:textFill>
            <w14:solidFill>
              <w14:schemeClr w14:val="tx1"/>
            </w14:solidFill>
          </w14:textFill>
        </w:rPr>
        <w:t>。</w:t>
      </w:r>
    </w:p>
    <w:p w14:paraId="304B2D27">
      <w:pPr>
        <w:widowControl/>
        <w:numPr>
          <w:ilvl w:val="0"/>
          <w:numId w:val="0"/>
        </w:numPr>
        <w:spacing w:before="240" w:after="240"/>
        <w:ind w:leftChars="0" w:firstLine="640" w:firstLineChars="200"/>
        <w:jc w:val="left"/>
        <w:rPr>
          <w:rFonts w:hint="eastAsia" w:ascii="仿宋" w:hAnsi="仿宋" w:eastAsia="仿宋" w:cs="仿宋"/>
          <w:b w:val="0"/>
          <w:bCs w:val="0"/>
          <w:color w:val="000000" w:themeColor="text1"/>
          <w:kern w:val="0"/>
          <w:sz w:val="32"/>
          <w:szCs w:val="32"/>
          <w:u w:val="none" w:color="auto"/>
          <w:lang w:val="en-US" w:eastAsia="zh-CN"/>
          <w14:textFill>
            <w14:solidFill>
              <w14:schemeClr w14:val="tx1"/>
            </w14:solidFill>
          </w14:textFill>
        </w:rPr>
      </w:pPr>
      <w:r>
        <w:rPr>
          <w:rFonts w:hint="eastAsia" w:ascii="仿宋" w:hAnsi="仿宋" w:eastAsia="仿宋" w:cs="仿宋"/>
          <w:b w:val="0"/>
          <w:bCs w:val="0"/>
          <w:color w:val="000000" w:themeColor="text1"/>
          <w:kern w:val="0"/>
          <w:sz w:val="32"/>
          <w:szCs w:val="32"/>
          <w:u w:val="none" w:color="auto"/>
          <w:lang w:val="en-US" w:eastAsia="zh-CN"/>
          <w14:textFill>
            <w14:solidFill>
              <w14:schemeClr w14:val="tx1"/>
            </w14:solidFill>
          </w14:textFill>
        </w:rPr>
        <w:t>3.其他社会保障和就业支出（款）其他社会保障和就业支出（项）。年初预算0.75万元，支出决算0.83万元，完成年初预算的110%。</w:t>
      </w:r>
      <w:r>
        <w:rPr>
          <w:rFonts w:hint="eastAsia" w:ascii="仿宋" w:hAnsi="仿宋" w:eastAsia="仿宋" w:cs="仿宋"/>
          <w:b w:val="0"/>
          <w:bCs w:val="0"/>
          <w:color w:val="000000" w:themeColor="text1"/>
          <w:kern w:val="0"/>
          <w:sz w:val="32"/>
          <w:szCs w:val="32"/>
          <w:u w:val="none" w:color="auto"/>
          <w14:textFill>
            <w14:solidFill>
              <w14:schemeClr w14:val="tx1"/>
            </w14:solidFill>
          </w14:textFill>
        </w:rPr>
        <w:t>决算数与年初预算数的差异原因：</w:t>
      </w:r>
      <w:r>
        <w:rPr>
          <w:rFonts w:hint="eastAsia" w:ascii="仿宋" w:hAnsi="仿宋" w:eastAsia="仿宋" w:cs="仿宋"/>
          <w:b w:val="0"/>
          <w:bCs w:val="0"/>
          <w:color w:val="000000" w:themeColor="text1"/>
          <w:kern w:val="0"/>
          <w:sz w:val="32"/>
          <w:szCs w:val="32"/>
          <w:u w:val="none" w:color="auto"/>
          <w:lang w:eastAsia="zh-CN"/>
          <w14:textFill>
            <w14:solidFill>
              <w14:schemeClr w14:val="tx1"/>
            </w14:solidFill>
          </w14:textFill>
        </w:rPr>
        <w:t>人员增加。</w:t>
      </w:r>
    </w:p>
    <w:p w14:paraId="7E4BBE5D">
      <w:pPr>
        <w:widowControl/>
        <w:spacing w:before="240" w:after="240"/>
        <w:ind w:firstLine="640" w:firstLineChars="200"/>
        <w:jc w:val="left"/>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b/>
          <w:bCs/>
          <w:color w:val="000000" w:themeColor="text1"/>
          <w:kern w:val="0"/>
          <w:sz w:val="32"/>
          <w:szCs w:val="32"/>
          <w:u w:val="none" w:color="auto"/>
          <w14:textFill>
            <w14:solidFill>
              <w14:schemeClr w14:val="tx1"/>
            </w14:solidFill>
          </w14:textFill>
        </w:rPr>
        <w:t>（</w:t>
      </w:r>
      <w:r>
        <w:rPr>
          <w:rFonts w:hint="eastAsia" w:ascii="仿宋" w:hAnsi="仿宋" w:eastAsia="仿宋" w:cs="仿宋"/>
          <w:b/>
          <w:bCs/>
          <w:color w:val="000000" w:themeColor="text1"/>
          <w:kern w:val="0"/>
          <w:sz w:val="32"/>
          <w:szCs w:val="32"/>
          <w:u w:val="none" w:color="auto"/>
          <w:lang w:eastAsia="zh-CN"/>
          <w14:textFill>
            <w14:solidFill>
              <w14:schemeClr w14:val="tx1"/>
            </w14:solidFill>
          </w14:textFill>
        </w:rPr>
        <w:t>二</w:t>
      </w:r>
      <w:r>
        <w:rPr>
          <w:rFonts w:hint="eastAsia" w:ascii="仿宋" w:hAnsi="仿宋" w:eastAsia="仿宋" w:cs="仿宋"/>
          <w:b/>
          <w:bCs/>
          <w:color w:val="000000" w:themeColor="text1"/>
          <w:kern w:val="0"/>
          <w:sz w:val="32"/>
          <w:szCs w:val="32"/>
          <w:u w:val="none" w:color="auto"/>
          <w14:textFill>
            <w14:solidFill>
              <w14:schemeClr w14:val="tx1"/>
            </w14:solidFill>
          </w14:textFill>
        </w:rPr>
        <w:t>）卫生健康支出（类）</w:t>
      </w:r>
    </w:p>
    <w:p w14:paraId="7A9F23FC">
      <w:pPr>
        <w:widowControl/>
        <w:spacing w:before="240" w:after="240"/>
        <w:ind w:firstLine="640" w:firstLineChars="200"/>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color w:val="000000" w:themeColor="text1"/>
          <w:kern w:val="0"/>
          <w:sz w:val="32"/>
          <w:szCs w:val="32"/>
          <w:u w:val="none" w:color="auto"/>
          <w14:textFill>
            <w14:solidFill>
              <w14:schemeClr w14:val="tx1"/>
            </w14:solidFill>
          </w14:textFill>
        </w:rPr>
        <w:t xml:space="preserve">卫生健康支出类决算数为 </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13.78</w:t>
      </w:r>
      <w:r>
        <w:rPr>
          <w:rFonts w:hint="eastAsia" w:ascii="仿宋" w:hAnsi="仿宋" w:eastAsia="仿宋" w:cs="仿宋"/>
          <w:color w:val="000000" w:themeColor="text1"/>
          <w:kern w:val="0"/>
          <w:sz w:val="32"/>
          <w:szCs w:val="32"/>
          <w:u w:val="none" w:color="auto"/>
          <w14:textFill>
            <w14:solidFill>
              <w14:schemeClr w14:val="tx1"/>
            </w14:solidFill>
          </w14:textFill>
        </w:rPr>
        <w:t>万元，与年初预算相比</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增加</w:t>
      </w:r>
      <w:r>
        <w:rPr>
          <w:rFonts w:hint="eastAsia" w:ascii="仿宋" w:hAnsi="仿宋" w:eastAsia="仿宋" w:cs="仿宋"/>
          <w:color w:val="000000" w:themeColor="text1"/>
          <w:kern w:val="0"/>
          <w:sz w:val="32"/>
          <w:szCs w:val="32"/>
          <w:u w:val="none" w:color="auto"/>
          <w14:textFill>
            <w14:solidFill>
              <w14:schemeClr w14:val="tx1"/>
            </w14:solidFill>
          </w14:textFill>
        </w:rPr>
        <w:t xml:space="preserve"> </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2.53</w:t>
      </w:r>
      <w:r>
        <w:rPr>
          <w:rFonts w:hint="eastAsia" w:ascii="仿宋" w:hAnsi="仿宋" w:eastAsia="仿宋" w:cs="仿宋"/>
          <w:color w:val="000000" w:themeColor="text1"/>
          <w:kern w:val="0"/>
          <w:sz w:val="32"/>
          <w:szCs w:val="32"/>
          <w:u w:val="none" w:color="auto"/>
          <w14:textFill>
            <w14:solidFill>
              <w14:schemeClr w14:val="tx1"/>
            </w14:solidFill>
          </w14:textFill>
        </w:rPr>
        <w:t>万元。其中：</w:t>
      </w:r>
    </w:p>
    <w:p w14:paraId="2458E635">
      <w:pPr>
        <w:widowControl/>
        <w:spacing w:before="240" w:after="240"/>
        <w:ind w:firstLine="640" w:firstLineChars="200"/>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w:t>
      </w:r>
      <w:r>
        <w:rPr>
          <w:rFonts w:hint="eastAsia" w:ascii="仿宋" w:hAnsi="仿宋" w:eastAsia="仿宋" w:cs="仿宋"/>
          <w:color w:val="000000" w:themeColor="text1"/>
          <w:kern w:val="0"/>
          <w:sz w:val="32"/>
          <w:szCs w:val="32"/>
          <w:u w:val="none" w:color="auto"/>
          <w14:textFill>
            <w14:solidFill>
              <w14:schemeClr w14:val="tx1"/>
            </w14:solidFill>
          </w14:textFill>
        </w:rPr>
        <w:t>．行政事业单位医疗（款）事业单位医疗（项）。年初预算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7.79</w:t>
      </w:r>
      <w:r>
        <w:rPr>
          <w:rFonts w:hint="eastAsia" w:ascii="仿宋" w:hAnsi="仿宋" w:eastAsia="仿宋" w:cs="仿宋"/>
          <w:color w:val="000000" w:themeColor="text1"/>
          <w:kern w:val="0"/>
          <w:sz w:val="32"/>
          <w:szCs w:val="32"/>
          <w:u w:val="none" w:color="auto"/>
          <w14:textFill>
            <w14:solidFill>
              <w14:schemeClr w14:val="tx1"/>
            </w14:solidFill>
          </w14:textFill>
        </w:rPr>
        <w:t>万元，支出决算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9.42</w:t>
      </w:r>
      <w:r>
        <w:rPr>
          <w:rFonts w:hint="eastAsia" w:ascii="仿宋" w:hAnsi="仿宋" w:eastAsia="仿宋" w:cs="仿宋"/>
          <w:color w:val="000000" w:themeColor="text1"/>
          <w:kern w:val="0"/>
          <w:sz w:val="32"/>
          <w:szCs w:val="32"/>
          <w:u w:val="none" w:color="auto"/>
          <w14:textFill>
            <w14:solidFill>
              <w14:schemeClr w14:val="tx1"/>
            </w14:solidFill>
          </w14:textFill>
        </w:rPr>
        <w:t>万元，完成年初预算的</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120</w:t>
      </w:r>
      <w:r>
        <w:rPr>
          <w:rFonts w:hint="eastAsia" w:ascii="仿宋" w:hAnsi="仿宋" w:eastAsia="仿宋" w:cs="仿宋"/>
          <w:color w:val="000000" w:themeColor="text1"/>
          <w:kern w:val="0"/>
          <w:sz w:val="32"/>
          <w:szCs w:val="32"/>
          <w:u w:val="none" w:color="auto"/>
          <w14:textFill>
            <w14:solidFill>
              <w14:schemeClr w14:val="tx1"/>
            </w14:solidFill>
          </w14:textFill>
        </w:rPr>
        <w:t>%。决算数与年初预算数的差异原因：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人员增加</w:t>
      </w:r>
      <w:r>
        <w:rPr>
          <w:rFonts w:hint="eastAsia" w:ascii="仿宋" w:hAnsi="仿宋" w:eastAsia="仿宋" w:cs="仿宋"/>
          <w:color w:val="000000" w:themeColor="text1"/>
          <w:kern w:val="0"/>
          <w:sz w:val="32"/>
          <w:szCs w:val="32"/>
          <w:u w:val="none" w:color="auto"/>
          <w14:textFill>
            <w14:solidFill>
              <w14:schemeClr w14:val="tx1"/>
            </w14:solidFill>
          </w14:textFill>
        </w:rPr>
        <w:t>。</w:t>
      </w:r>
    </w:p>
    <w:p w14:paraId="1B1625FB">
      <w:pPr>
        <w:widowControl/>
        <w:spacing w:before="240" w:after="240"/>
        <w:ind w:firstLine="640" w:firstLineChars="200"/>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color w:val="000000" w:themeColor="text1"/>
          <w:kern w:val="0"/>
          <w:sz w:val="32"/>
          <w:szCs w:val="32"/>
          <w:u w:val="none" w:color="auto"/>
          <w14:textFill>
            <w14:solidFill>
              <w14:schemeClr w14:val="tx1"/>
            </w14:solidFill>
          </w14:textFill>
        </w:rPr>
        <w:t>3．行政事业单位医疗（款）公务员医疗补助（项）。年初预算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3.45</w:t>
      </w:r>
      <w:r>
        <w:rPr>
          <w:rFonts w:hint="eastAsia" w:ascii="仿宋" w:hAnsi="仿宋" w:eastAsia="仿宋" w:cs="仿宋"/>
          <w:color w:val="000000" w:themeColor="text1"/>
          <w:kern w:val="0"/>
          <w:sz w:val="32"/>
          <w:szCs w:val="32"/>
          <w:u w:val="none" w:color="auto"/>
          <w14:textFill>
            <w14:solidFill>
              <w14:schemeClr w14:val="tx1"/>
            </w14:solidFill>
          </w14:textFill>
        </w:rPr>
        <w:t>万元，支出决算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4.36</w:t>
      </w:r>
      <w:r>
        <w:rPr>
          <w:rFonts w:hint="eastAsia" w:ascii="仿宋" w:hAnsi="仿宋" w:eastAsia="仿宋" w:cs="仿宋"/>
          <w:color w:val="000000" w:themeColor="text1"/>
          <w:kern w:val="0"/>
          <w:sz w:val="32"/>
          <w:szCs w:val="32"/>
          <w:u w:val="none" w:color="auto"/>
          <w14:textFill>
            <w14:solidFill>
              <w14:schemeClr w14:val="tx1"/>
            </w14:solidFill>
          </w14:textFill>
        </w:rPr>
        <w:t>万元，完成年初预算的</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126</w:t>
      </w:r>
      <w:r>
        <w:rPr>
          <w:rFonts w:hint="eastAsia" w:ascii="仿宋" w:hAnsi="仿宋" w:eastAsia="仿宋" w:cs="仿宋"/>
          <w:color w:val="000000" w:themeColor="text1"/>
          <w:kern w:val="0"/>
          <w:sz w:val="32"/>
          <w:szCs w:val="32"/>
          <w:u w:val="none" w:color="auto"/>
          <w14:textFill>
            <w14:solidFill>
              <w14:schemeClr w14:val="tx1"/>
            </w14:solidFill>
          </w14:textFill>
        </w:rPr>
        <w:t>%。决算数与年初预算数的差异原因：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人员增加</w:t>
      </w:r>
      <w:r>
        <w:rPr>
          <w:rFonts w:hint="eastAsia" w:ascii="仿宋" w:hAnsi="仿宋" w:eastAsia="仿宋" w:cs="仿宋"/>
          <w:color w:val="000000" w:themeColor="text1"/>
          <w:kern w:val="0"/>
          <w:sz w:val="32"/>
          <w:szCs w:val="32"/>
          <w:u w:val="none" w:color="auto"/>
          <w14:textFill>
            <w14:solidFill>
              <w14:schemeClr w14:val="tx1"/>
            </w14:solidFill>
          </w14:textFill>
        </w:rPr>
        <w:t>。</w:t>
      </w:r>
    </w:p>
    <w:p w14:paraId="7C69C297">
      <w:pPr>
        <w:widowControl/>
        <w:spacing w:before="240" w:after="240"/>
        <w:ind w:firstLine="640" w:firstLineChars="200"/>
        <w:rPr>
          <w:rFonts w:hint="eastAsia" w:ascii="仿宋" w:hAnsi="仿宋" w:eastAsia="仿宋" w:cs="仿宋"/>
          <w:b/>
          <w:bCs/>
          <w:color w:val="000000" w:themeColor="text1"/>
          <w:kern w:val="0"/>
          <w:sz w:val="32"/>
          <w:szCs w:val="32"/>
          <w:u w:val="none" w:color="auto"/>
          <w:lang w:eastAsia="zh-CN"/>
          <w14:textFill>
            <w14:solidFill>
              <w14:schemeClr w14:val="tx1"/>
            </w14:solidFill>
          </w14:textFill>
        </w:rPr>
      </w:pPr>
      <w:r>
        <w:rPr>
          <w:rFonts w:hint="eastAsia" w:ascii="仿宋" w:hAnsi="仿宋" w:eastAsia="仿宋" w:cs="仿宋"/>
          <w:b/>
          <w:bCs/>
          <w:color w:val="000000" w:themeColor="text1"/>
          <w:kern w:val="0"/>
          <w:sz w:val="32"/>
          <w:szCs w:val="32"/>
          <w:u w:val="none" w:color="auto"/>
          <w:lang w:eastAsia="zh-CN"/>
          <w14:textFill>
            <w14:solidFill>
              <w14:schemeClr w14:val="tx1"/>
            </w14:solidFill>
          </w14:textFill>
        </w:rPr>
        <w:t>（三）城乡社区支出（类）</w:t>
      </w:r>
    </w:p>
    <w:p w14:paraId="360365AF">
      <w:pPr>
        <w:widowControl/>
        <w:spacing w:before="240" w:after="240"/>
        <w:ind w:firstLine="640" w:firstLineChars="200"/>
        <w:rPr>
          <w:rFonts w:hint="eastAsia" w:ascii="仿宋" w:hAnsi="仿宋" w:eastAsia="仿宋" w:cs="仿宋"/>
          <w:color w:val="000000" w:themeColor="text1"/>
          <w:kern w:val="0"/>
          <w:sz w:val="32"/>
          <w:szCs w:val="32"/>
          <w:u w:val="none" w:color="auto"/>
          <w:lang w:eastAsia="zh-CN"/>
          <w14:textFill>
            <w14:solidFill>
              <w14:schemeClr w14:val="tx1"/>
            </w14:solidFill>
          </w14:textFill>
        </w:rPr>
      </w:pP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1.城乡社区公共设施（款）其他城乡社区公共设施支出（项）。</w:t>
      </w:r>
      <w:r>
        <w:rPr>
          <w:rFonts w:hint="eastAsia" w:ascii="仿宋" w:hAnsi="仿宋" w:eastAsia="仿宋" w:cs="仿宋"/>
          <w:color w:val="000000" w:themeColor="text1"/>
          <w:kern w:val="0"/>
          <w:sz w:val="32"/>
          <w:szCs w:val="32"/>
          <w:u w:val="none" w:color="auto"/>
          <w14:textFill>
            <w14:solidFill>
              <w14:schemeClr w14:val="tx1"/>
            </w14:solidFill>
          </w14:textFill>
        </w:rPr>
        <w:t>年初预算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150.72</w:t>
      </w:r>
      <w:r>
        <w:rPr>
          <w:rFonts w:hint="eastAsia" w:ascii="仿宋" w:hAnsi="仿宋" w:eastAsia="仿宋" w:cs="仿宋"/>
          <w:color w:val="000000" w:themeColor="text1"/>
          <w:kern w:val="0"/>
          <w:sz w:val="32"/>
          <w:szCs w:val="32"/>
          <w:u w:val="none" w:color="auto"/>
          <w14:textFill>
            <w14:solidFill>
              <w14:schemeClr w14:val="tx1"/>
            </w14:solidFill>
          </w14:textFill>
        </w:rPr>
        <w:t>万元，支出决算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6340.33</w:t>
      </w:r>
      <w:r>
        <w:rPr>
          <w:rFonts w:hint="eastAsia" w:ascii="仿宋" w:hAnsi="仿宋" w:eastAsia="仿宋" w:cs="仿宋"/>
          <w:color w:val="000000" w:themeColor="text1"/>
          <w:kern w:val="0"/>
          <w:sz w:val="32"/>
          <w:szCs w:val="32"/>
          <w:u w:val="none" w:color="auto"/>
          <w14:textFill>
            <w14:solidFill>
              <w14:schemeClr w14:val="tx1"/>
            </w14:solidFill>
          </w14:textFill>
        </w:rPr>
        <w:t>万元，完成年初预算的</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4206</w:t>
      </w:r>
      <w:r>
        <w:rPr>
          <w:rFonts w:hint="eastAsia" w:ascii="仿宋" w:hAnsi="仿宋" w:eastAsia="仿宋" w:cs="仿宋"/>
          <w:color w:val="000000" w:themeColor="text1"/>
          <w:kern w:val="0"/>
          <w:sz w:val="32"/>
          <w:szCs w:val="32"/>
          <w:u w:val="none" w:color="auto"/>
          <w14:textFill>
            <w14:solidFill>
              <w14:schemeClr w14:val="tx1"/>
            </w14:solidFill>
          </w14:textFill>
        </w:rPr>
        <w:t>%。决算数与年初预算数的差异原因：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市财政追加双河区</w:t>
      </w:r>
      <w:bookmarkStart w:id="1" w:name="_GoBack"/>
      <w:bookmarkEnd w:id="1"/>
      <w:r>
        <w:rPr>
          <w:rFonts w:hint="eastAsia" w:ascii="仿宋" w:hAnsi="仿宋" w:eastAsia="仿宋" w:cs="仿宋"/>
          <w:color w:val="000000" w:themeColor="text1"/>
          <w:kern w:val="0"/>
          <w:sz w:val="32"/>
          <w:szCs w:val="32"/>
          <w:u w:val="none" w:color="auto"/>
          <w:lang w:eastAsia="zh-CN"/>
          <w14:textFill>
            <w14:solidFill>
              <w14:schemeClr w14:val="tx1"/>
            </w14:solidFill>
          </w14:textFill>
        </w:rPr>
        <w:t>基础设施建设项目资金。</w:t>
      </w:r>
    </w:p>
    <w:p w14:paraId="46DDAF3F">
      <w:pPr>
        <w:widowControl/>
        <w:spacing w:before="240" w:after="240"/>
        <w:jc w:val="left"/>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b/>
          <w:bCs/>
          <w:color w:val="000000" w:themeColor="text1"/>
          <w:kern w:val="0"/>
          <w:sz w:val="32"/>
          <w:szCs w:val="32"/>
          <w:u w:val="none" w:color="auto"/>
          <w14:textFill>
            <w14:solidFill>
              <w14:schemeClr w14:val="tx1"/>
            </w14:solidFill>
          </w14:textFill>
        </w:rPr>
        <w:t>  （</w:t>
      </w:r>
      <w:r>
        <w:rPr>
          <w:rFonts w:hint="eastAsia" w:ascii="仿宋" w:hAnsi="仿宋" w:eastAsia="仿宋" w:cs="仿宋"/>
          <w:b/>
          <w:bCs/>
          <w:color w:val="000000" w:themeColor="text1"/>
          <w:kern w:val="0"/>
          <w:sz w:val="32"/>
          <w:szCs w:val="32"/>
          <w:u w:val="none" w:color="auto"/>
          <w:lang w:eastAsia="zh-CN"/>
          <w14:textFill>
            <w14:solidFill>
              <w14:schemeClr w14:val="tx1"/>
            </w14:solidFill>
          </w14:textFill>
        </w:rPr>
        <w:t>四</w:t>
      </w:r>
      <w:r>
        <w:rPr>
          <w:rFonts w:hint="eastAsia" w:ascii="仿宋" w:hAnsi="仿宋" w:eastAsia="仿宋" w:cs="仿宋"/>
          <w:b/>
          <w:bCs/>
          <w:color w:val="000000" w:themeColor="text1"/>
          <w:kern w:val="0"/>
          <w:sz w:val="32"/>
          <w:szCs w:val="32"/>
          <w:u w:val="none" w:color="auto"/>
          <w14:textFill>
            <w14:solidFill>
              <w14:schemeClr w14:val="tx1"/>
            </w14:solidFill>
          </w14:textFill>
        </w:rPr>
        <w:t>）住房保障支出（类）</w:t>
      </w:r>
    </w:p>
    <w:p w14:paraId="77CF97C0">
      <w:pPr>
        <w:widowControl/>
        <w:spacing w:before="240" w:after="240"/>
        <w:ind w:firstLine="640" w:firstLineChars="200"/>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color w:val="000000" w:themeColor="text1"/>
          <w:kern w:val="0"/>
          <w:sz w:val="32"/>
          <w:szCs w:val="32"/>
          <w:u w:val="none" w:color="auto"/>
          <w14:textFill>
            <w14:solidFill>
              <w14:schemeClr w14:val="tx1"/>
            </w14:solidFill>
          </w14:textFill>
        </w:rPr>
        <w:t xml:space="preserve">住房保障支出类决算数为 </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15.39</w:t>
      </w:r>
      <w:r>
        <w:rPr>
          <w:rFonts w:hint="eastAsia" w:ascii="仿宋" w:hAnsi="仿宋" w:eastAsia="仿宋" w:cs="仿宋"/>
          <w:color w:val="000000" w:themeColor="text1"/>
          <w:kern w:val="0"/>
          <w:sz w:val="32"/>
          <w:szCs w:val="32"/>
          <w:u w:val="none" w:color="auto"/>
          <w14:textFill>
            <w14:solidFill>
              <w14:schemeClr w14:val="tx1"/>
            </w14:solidFill>
          </w14:textFill>
        </w:rPr>
        <w:t>万元，与年初预算相比增加</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1.35</w:t>
      </w:r>
      <w:r>
        <w:rPr>
          <w:rFonts w:hint="eastAsia" w:ascii="仿宋" w:hAnsi="仿宋" w:eastAsia="仿宋" w:cs="仿宋"/>
          <w:color w:val="000000" w:themeColor="text1"/>
          <w:kern w:val="0"/>
          <w:sz w:val="32"/>
          <w:szCs w:val="32"/>
          <w:u w:val="none" w:color="auto"/>
          <w14:textFill>
            <w14:solidFill>
              <w14:schemeClr w14:val="tx1"/>
            </w14:solidFill>
          </w14:textFill>
        </w:rPr>
        <w:t>万元。其中：</w:t>
      </w:r>
    </w:p>
    <w:p w14:paraId="4E78197A">
      <w:pPr>
        <w:numPr>
          <w:ilvl w:val="0"/>
          <w:numId w:val="0"/>
        </w:numPr>
        <w:spacing w:line="600" w:lineRule="exact"/>
        <w:ind w:firstLine="640" w:firstLineChars="200"/>
        <w:jc w:val="both"/>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w:t>
      </w:r>
      <w:r>
        <w:rPr>
          <w:rFonts w:hint="eastAsia" w:ascii="仿宋" w:hAnsi="仿宋" w:eastAsia="仿宋" w:cs="仿宋"/>
          <w:color w:val="000000" w:themeColor="text1"/>
          <w:kern w:val="0"/>
          <w:sz w:val="32"/>
          <w:szCs w:val="32"/>
          <w:u w:val="none" w:color="auto"/>
          <w14:textFill>
            <w14:solidFill>
              <w14:schemeClr w14:val="tx1"/>
            </w14:solidFill>
          </w14:textFill>
        </w:rPr>
        <w:t>住房改革支出（款）住房公积金（项）。年初预算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15.39</w:t>
      </w:r>
      <w:r>
        <w:rPr>
          <w:rFonts w:hint="eastAsia" w:ascii="仿宋" w:hAnsi="仿宋" w:eastAsia="仿宋" w:cs="仿宋"/>
          <w:color w:val="000000" w:themeColor="text1"/>
          <w:kern w:val="0"/>
          <w:sz w:val="32"/>
          <w:szCs w:val="32"/>
          <w:u w:val="none" w:color="auto"/>
          <w14:textFill>
            <w14:solidFill>
              <w14:schemeClr w14:val="tx1"/>
            </w14:solidFill>
          </w14:textFill>
        </w:rPr>
        <w:t>万元，支出决算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16.74</w:t>
      </w:r>
      <w:r>
        <w:rPr>
          <w:rFonts w:hint="eastAsia" w:ascii="仿宋" w:hAnsi="仿宋" w:eastAsia="仿宋" w:cs="仿宋"/>
          <w:color w:val="000000" w:themeColor="text1"/>
          <w:kern w:val="0"/>
          <w:sz w:val="32"/>
          <w:szCs w:val="32"/>
          <w:u w:val="none" w:color="auto"/>
          <w14:textFill>
            <w14:solidFill>
              <w14:schemeClr w14:val="tx1"/>
            </w14:solidFill>
          </w14:textFill>
        </w:rPr>
        <w:t>万元，完成年初预算的</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109</w:t>
      </w:r>
      <w:r>
        <w:rPr>
          <w:rFonts w:hint="eastAsia" w:ascii="仿宋" w:hAnsi="仿宋" w:eastAsia="仿宋" w:cs="仿宋"/>
          <w:color w:val="000000" w:themeColor="text1"/>
          <w:kern w:val="0"/>
          <w:sz w:val="32"/>
          <w:szCs w:val="32"/>
          <w:u w:val="none" w:color="auto"/>
          <w14:textFill>
            <w14:solidFill>
              <w14:schemeClr w14:val="tx1"/>
            </w14:solidFill>
          </w14:textFill>
        </w:rPr>
        <w:t>%。决算数与年初预算数的差异原因：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人员增加</w:t>
      </w:r>
      <w:r>
        <w:rPr>
          <w:rFonts w:hint="eastAsia" w:ascii="仿宋" w:hAnsi="仿宋" w:eastAsia="仿宋" w:cs="仿宋"/>
          <w:color w:val="000000" w:themeColor="text1"/>
          <w:kern w:val="0"/>
          <w:sz w:val="32"/>
          <w:szCs w:val="32"/>
          <w:u w:val="none" w:color="auto"/>
          <w14:textFill>
            <w14:solidFill>
              <w14:schemeClr w14:val="tx1"/>
            </w14:solidFill>
          </w14:textFill>
        </w:rPr>
        <w:t>。</w:t>
      </w:r>
    </w:p>
    <w:p w14:paraId="09DDE10E">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六、一般公共预算财政拨款基本支出决算情况说明</w:t>
      </w:r>
    </w:p>
    <w:p w14:paraId="2DBB5518">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年度一般公共预算财政拨款基本支出决算</w:t>
      </w:r>
      <w:r>
        <w:rPr>
          <w:rFonts w:eastAsia="Times New Roman"/>
          <w:color w:val="000000" w:themeColor="text1"/>
          <w:kern w:val="0"/>
          <w:sz w:val="32"/>
          <w:szCs w:val="32"/>
          <w:u w:val="none" w:color="auto"/>
          <w:lang w:eastAsia="en-US"/>
          <w14:textFill>
            <w14:solidFill>
              <w14:schemeClr w14:val="tx1"/>
            </w14:solidFill>
          </w14:textFill>
        </w:rPr>
        <w:t xml:space="preserve"> 221.97</w:t>
      </w:r>
      <w:r>
        <w:rPr>
          <w:rFonts w:ascii="仿宋" w:hAnsi="仿宋" w:eastAsia="仿宋" w:cs="仿宋"/>
          <w:color w:val="000000" w:themeColor="text1"/>
          <w:kern w:val="0"/>
          <w:sz w:val="32"/>
          <w:szCs w:val="32"/>
          <w:u w:val="none" w:color="auto"/>
          <w14:textFill>
            <w14:solidFill>
              <w14:schemeClr w14:val="tx1"/>
            </w14:solidFill>
          </w14:textFill>
        </w:rPr>
        <w:t>万元，其中：</w:t>
      </w:r>
    </w:p>
    <w:p w14:paraId="162B8874">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楷体" w:hAnsi="楷体" w:eastAsia="楷体" w:cs="楷体"/>
          <w:b/>
          <w:bCs/>
          <w:color w:val="000000" w:themeColor="text1"/>
          <w:kern w:val="0"/>
          <w:sz w:val="32"/>
          <w:szCs w:val="32"/>
          <w:u w:val="none" w:color="auto"/>
          <w14:textFill>
            <w14:solidFill>
              <w14:schemeClr w14:val="tx1"/>
            </w14:solidFill>
          </w14:textFill>
        </w:rPr>
        <w:t>（一）人员经费</w:t>
      </w:r>
      <w:r>
        <w:rPr>
          <w:rFonts w:eastAsia="Times New Roman"/>
          <w:color w:val="000000" w:themeColor="text1"/>
          <w:kern w:val="0"/>
          <w:sz w:val="32"/>
          <w:szCs w:val="32"/>
          <w:u w:val="none" w:color="auto"/>
          <w:lang w:eastAsia="en-US"/>
          <w14:textFill>
            <w14:solidFill>
              <w14:schemeClr w14:val="tx1"/>
            </w14:solidFill>
          </w14:textFill>
        </w:rPr>
        <w:t xml:space="preserve"> 209.51</w:t>
      </w:r>
      <w:r>
        <w:rPr>
          <w:rFonts w:ascii="楷体" w:hAnsi="楷体" w:eastAsia="楷体" w:cs="楷体"/>
          <w:b/>
          <w:bCs/>
          <w:color w:val="000000" w:themeColor="text1"/>
          <w:kern w:val="0"/>
          <w:sz w:val="32"/>
          <w:szCs w:val="32"/>
          <w:u w:val="none" w:color="auto"/>
          <w14:textFill>
            <w14:solidFill>
              <w14:schemeClr w14:val="tx1"/>
            </w14:solidFill>
          </w14:textFill>
        </w:rPr>
        <w:t>万元。</w:t>
      </w:r>
      <w:r>
        <w:rPr>
          <w:rFonts w:ascii="仿宋" w:hAnsi="仿宋" w:eastAsia="仿宋" w:cs="仿宋"/>
          <w:color w:val="000000" w:themeColor="text1"/>
          <w:kern w:val="0"/>
          <w:sz w:val="32"/>
          <w:szCs w:val="32"/>
          <w:u w:val="none" w:color="auto"/>
          <w14:textFill>
            <w14:solidFill>
              <w14:schemeClr w14:val="tx1"/>
            </w14:solidFill>
          </w14:textFill>
        </w:rPr>
        <w:t>主要包括：基本工资、津贴补贴、绩效工资、机关事业单位基本养老保险缴费、职工基本医疗保险缴费、公务员医疗补助缴费、住房公积金、其他工资福利支出、退休费等。</w:t>
      </w:r>
    </w:p>
    <w:p w14:paraId="0A042145">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（二）公用经费</w:t>
      </w:r>
      <w:r>
        <w:rPr>
          <w:rFonts w:eastAsia="Times New Roman"/>
          <w:color w:val="000000" w:themeColor="text1"/>
          <w:kern w:val="0"/>
          <w:sz w:val="32"/>
          <w:szCs w:val="32"/>
          <w:u w:val="none" w:color="auto"/>
          <w:lang w:eastAsia="en-US"/>
          <w14:textFill>
            <w14:solidFill>
              <w14:schemeClr w14:val="tx1"/>
            </w14:solidFill>
          </w14:textFill>
        </w:rPr>
        <w:t xml:space="preserve"> 12.45</w:t>
      </w:r>
      <w:r>
        <w:rPr>
          <w:rFonts w:ascii="仿宋" w:hAnsi="仿宋" w:eastAsia="仿宋" w:cs="仿宋"/>
          <w:b/>
          <w:bCs/>
          <w:color w:val="000000" w:themeColor="text1"/>
          <w:kern w:val="0"/>
          <w:sz w:val="32"/>
          <w:szCs w:val="32"/>
          <w:u w:val="none" w:color="auto"/>
          <w14:textFill>
            <w14:solidFill>
              <w14:schemeClr w14:val="tx1"/>
            </w14:solidFill>
          </w14:textFill>
        </w:rPr>
        <w:t>万元。</w:t>
      </w:r>
      <w:r>
        <w:rPr>
          <w:rFonts w:ascii="仿宋" w:hAnsi="仿宋" w:eastAsia="仿宋" w:cs="仿宋"/>
          <w:color w:val="000000" w:themeColor="text1"/>
          <w:kern w:val="0"/>
          <w:sz w:val="32"/>
          <w:szCs w:val="32"/>
          <w:u w:val="none" w:color="auto"/>
          <w14:textFill>
            <w14:solidFill>
              <w14:schemeClr w14:val="tx1"/>
            </w14:solidFill>
          </w14:textFill>
        </w:rPr>
        <w:t>主要包括：办公费、水费、电费、取暖费、物业管理费、公务接待费、委托业务费、工会经费、福利费等。</w:t>
      </w:r>
    </w:p>
    <w:p w14:paraId="19727C49">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七、一般公共预算财政拨款项目支出决算情况说明</w:t>
      </w:r>
    </w:p>
    <w:p w14:paraId="5B089B00">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年度一般公共预算财政拨款项目支出决算</w:t>
      </w:r>
      <w:r>
        <w:rPr>
          <w:rFonts w:eastAsia="Times New Roman"/>
          <w:color w:val="000000" w:themeColor="text1"/>
          <w:kern w:val="0"/>
          <w:sz w:val="32"/>
          <w:szCs w:val="32"/>
          <w:u w:val="none" w:color="auto"/>
          <w:lang w:eastAsia="en-US"/>
          <w14:textFill>
            <w14:solidFill>
              <w14:schemeClr w14:val="tx1"/>
            </w14:solidFill>
          </w14:textFill>
        </w:rPr>
        <w:t xml:space="preserve"> 6174.83</w:t>
      </w:r>
      <w:r>
        <w:rPr>
          <w:rFonts w:ascii="仿宋" w:hAnsi="仿宋" w:eastAsia="仿宋" w:cs="仿宋"/>
          <w:color w:val="000000" w:themeColor="text1"/>
          <w:kern w:val="0"/>
          <w:sz w:val="32"/>
          <w:szCs w:val="32"/>
          <w:u w:val="none" w:color="auto"/>
          <w14:textFill>
            <w14:solidFill>
              <w14:schemeClr w14:val="tx1"/>
            </w14:solidFill>
          </w14:textFill>
        </w:rPr>
        <w:t>万元，其中：</w:t>
      </w:r>
    </w:p>
    <w:p w14:paraId="7D4CD63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（一）工资福利支出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b/>
          <w:bCs/>
          <w:color w:val="000000" w:themeColor="text1"/>
          <w:kern w:val="0"/>
          <w:sz w:val="32"/>
          <w:szCs w:val="32"/>
          <w:u w:val="none" w:color="auto"/>
          <w14:textFill>
            <w14:solidFill>
              <w14:schemeClr w14:val="tx1"/>
            </w14:solidFill>
          </w14:textFill>
        </w:rPr>
        <w:t>万元。</w:t>
      </w:r>
      <w:r>
        <w:rPr>
          <w:rFonts w:ascii="仿宋" w:hAnsi="仿宋" w:eastAsia="仿宋" w:cs="仿宋"/>
          <w:color w:val="000000" w:themeColor="text1"/>
          <w:kern w:val="0"/>
          <w:sz w:val="32"/>
          <w:szCs w:val="32"/>
          <w:u w:val="none" w:color="auto"/>
          <w14:textFill>
            <w14:solidFill>
              <w14:schemeClr w14:val="tx1"/>
            </w14:solidFill>
          </w14:textFill>
        </w:rPr>
        <w:t>主要包括：基本工资、津贴补贴、奖金、伙食补助费、绩效工资、机关事业单位基本养老保险缴费、职业年金缴费、职工基本医疗保险缴费、公务员医疗补助缴费、其他社会保障缴费、住房公积金、医疗费、其他工资福利支出等。</w:t>
      </w:r>
    </w:p>
    <w:p w14:paraId="129EC485">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（二）商品和服务支出</w:t>
      </w:r>
      <w:r>
        <w:rPr>
          <w:rFonts w:eastAsia="Times New Roman"/>
          <w:color w:val="000000" w:themeColor="text1"/>
          <w:kern w:val="0"/>
          <w:sz w:val="32"/>
          <w:szCs w:val="32"/>
          <w:u w:val="none" w:color="auto"/>
          <w:lang w:eastAsia="en-US"/>
          <w14:textFill>
            <w14:solidFill>
              <w14:schemeClr w14:val="tx1"/>
            </w14:solidFill>
          </w14:textFill>
        </w:rPr>
        <w:t xml:space="preserve"> 7.37</w:t>
      </w:r>
      <w:r>
        <w:rPr>
          <w:rFonts w:ascii="仿宋" w:hAnsi="仿宋" w:eastAsia="仿宋" w:cs="仿宋"/>
          <w:b/>
          <w:bCs/>
          <w:color w:val="000000" w:themeColor="text1"/>
          <w:kern w:val="0"/>
          <w:sz w:val="32"/>
          <w:szCs w:val="32"/>
          <w:u w:val="none" w:color="auto"/>
          <w14:textFill>
            <w14:solidFill>
              <w14:schemeClr w14:val="tx1"/>
            </w14:solidFill>
          </w14:textFill>
        </w:rPr>
        <w:t>万元。</w:t>
      </w:r>
      <w:r>
        <w:rPr>
          <w:rFonts w:ascii="仿宋" w:hAnsi="仿宋" w:eastAsia="仿宋" w:cs="仿宋"/>
          <w:color w:val="000000" w:themeColor="text1"/>
          <w:kern w:val="0"/>
          <w:sz w:val="32"/>
          <w:szCs w:val="32"/>
          <w:u w:val="none" w:color="auto"/>
          <w14:textFill>
            <w14:solidFill>
              <w14:schemeClr w14:val="tx1"/>
            </w14:solidFill>
          </w14:textFill>
        </w:rPr>
        <w:t>主要包括：办公费、水费、电费、取暖费、物业管理费、公务接待费、委托业务费、工会经费、福利费等。</w:t>
      </w:r>
    </w:p>
    <w:p w14:paraId="5D3CD417">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（三）资本性支出</w:t>
      </w:r>
      <w:r>
        <w:rPr>
          <w:rFonts w:eastAsia="Times New Roman"/>
          <w:color w:val="000000" w:themeColor="text1"/>
          <w:kern w:val="0"/>
          <w:sz w:val="32"/>
          <w:szCs w:val="32"/>
          <w:u w:val="none" w:color="auto"/>
          <w:lang w:eastAsia="en-US"/>
          <w14:textFill>
            <w14:solidFill>
              <w14:schemeClr w14:val="tx1"/>
            </w14:solidFill>
          </w14:textFill>
        </w:rPr>
        <w:t xml:space="preserve"> 4232.64</w:t>
      </w:r>
      <w:r>
        <w:rPr>
          <w:rFonts w:ascii="仿宋" w:hAnsi="仿宋" w:eastAsia="仿宋" w:cs="仿宋"/>
          <w:b/>
          <w:bCs/>
          <w:color w:val="000000" w:themeColor="text1"/>
          <w:kern w:val="0"/>
          <w:sz w:val="32"/>
          <w:szCs w:val="32"/>
          <w:u w:val="none" w:color="auto"/>
          <w14:textFill>
            <w14:solidFill>
              <w14:schemeClr w14:val="tx1"/>
            </w14:solidFill>
          </w14:textFill>
        </w:rPr>
        <w:t>万元。</w:t>
      </w:r>
      <w:r>
        <w:rPr>
          <w:rFonts w:ascii="仿宋" w:hAnsi="仿宋" w:eastAsia="仿宋" w:cs="仿宋"/>
          <w:color w:val="000000" w:themeColor="text1"/>
          <w:kern w:val="0"/>
          <w:sz w:val="32"/>
          <w:szCs w:val="32"/>
          <w:u w:val="none" w:color="auto"/>
          <w14:textFill>
            <w14:solidFill>
              <w14:schemeClr w14:val="tx1"/>
            </w14:solidFill>
          </w14:textFill>
        </w:rPr>
        <w:t>主要包括：基础设施。</w:t>
      </w:r>
    </w:p>
    <w:p w14:paraId="24A7559C">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八、财政拨款</w:t>
      </w:r>
      <w:r>
        <w:rPr>
          <w:rFonts w:ascii="Times New Roman" w:hAnsi="Times New Roman" w:eastAsia="Times New Roman" w:cs="Times New Roman"/>
          <w:b/>
          <w:bCs/>
          <w:color w:val="000000" w:themeColor="text1"/>
          <w:kern w:val="0"/>
          <w:sz w:val="32"/>
          <w:szCs w:val="32"/>
          <w:u w:val="none" w:color="auto"/>
          <w:lang w:eastAsia="en-US"/>
          <w14:textFill>
            <w14:solidFill>
              <w14:schemeClr w14:val="tx1"/>
            </w14:solidFill>
          </w14:textFill>
        </w:rPr>
        <w:t>“</w:t>
      </w:r>
      <w:r>
        <w:rPr>
          <w:rFonts w:ascii="黑体" w:hAnsi="黑体" w:eastAsia="黑体" w:cs="黑体"/>
          <w:b/>
          <w:bCs/>
          <w:color w:val="000000" w:themeColor="text1"/>
          <w:kern w:val="0"/>
          <w:sz w:val="32"/>
          <w:szCs w:val="32"/>
          <w:u w:val="none" w:color="auto"/>
          <w14:textFill>
            <w14:solidFill>
              <w14:schemeClr w14:val="tx1"/>
            </w14:solidFill>
          </w14:textFill>
        </w:rPr>
        <w:t>三公</w:t>
      </w:r>
      <w:r>
        <w:rPr>
          <w:rFonts w:ascii="Times New Roman" w:hAnsi="Times New Roman" w:eastAsia="Times New Roman" w:cs="Times New Roman"/>
          <w:b/>
          <w:bCs/>
          <w:color w:val="000000" w:themeColor="text1"/>
          <w:kern w:val="0"/>
          <w:sz w:val="32"/>
          <w:szCs w:val="32"/>
          <w:u w:val="none" w:color="auto"/>
          <w:lang w:eastAsia="en-US"/>
          <w14:textFill>
            <w14:solidFill>
              <w14:schemeClr w14:val="tx1"/>
            </w14:solidFill>
          </w14:textFill>
        </w:rPr>
        <w:t>”</w:t>
      </w:r>
      <w:r>
        <w:rPr>
          <w:rFonts w:ascii="黑体" w:hAnsi="黑体" w:eastAsia="黑体" w:cs="黑体"/>
          <w:b/>
          <w:bCs/>
          <w:color w:val="000000" w:themeColor="text1"/>
          <w:kern w:val="0"/>
          <w:sz w:val="32"/>
          <w:szCs w:val="32"/>
          <w:u w:val="none" w:color="auto"/>
          <w14:textFill>
            <w14:solidFill>
              <w14:schemeClr w14:val="tx1"/>
            </w14:solidFill>
          </w14:textFill>
        </w:rPr>
        <w:t>经费支出决算情况说明</w:t>
      </w:r>
    </w:p>
    <w:p w14:paraId="26234B30">
      <w:pPr>
        <w:pStyle w:val="29"/>
        <w:widowControl/>
        <w:spacing w:before="240" w:after="240"/>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楷体" w:hAnsi="楷体" w:eastAsia="楷体" w:cs="楷体"/>
          <w:b/>
          <w:bCs/>
          <w:color w:val="000000" w:themeColor="text1"/>
          <w:kern w:val="0"/>
          <w:sz w:val="32"/>
          <w:szCs w:val="32"/>
          <w:u w:val="none" w:color="auto"/>
          <w14:textFill>
            <w14:solidFill>
              <w14:schemeClr w14:val="tx1"/>
            </w14:solidFill>
          </w14:textFill>
        </w:rPr>
        <w:t>（一）财政拨款</w:t>
      </w:r>
      <w:r>
        <w:rPr>
          <w:rFonts w:ascii="Times New Roman" w:hAnsi="Times New Roman" w:eastAsia="Times New Roman" w:cs="Times New Roman"/>
          <w:b/>
          <w:bCs/>
          <w:color w:val="000000" w:themeColor="text1"/>
          <w:kern w:val="0"/>
          <w:sz w:val="32"/>
          <w:szCs w:val="32"/>
          <w:u w:val="none" w:color="auto"/>
          <w:lang w:eastAsia="en-US"/>
          <w14:textFill>
            <w14:solidFill>
              <w14:schemeClr w14:val="tx1"/>
            </w14:solidFill>
          </w14:textFill>
        </w:rPr>
        <w:t>“</w:t>
      </w:r>
      <w:r>
        <w:rPr>
          <w:rFonts w:ascii="楷体" w:hAnsi="楷体" w:eastAsia="楷体" w:cs="楷体"/>
          <w:b/>
          <w:bCs/>
          <w:color w:val="000000" w:themeColor="text1"/>
          <w:kern w:val="0"/>
          <w:sz w:val="32"/>
          <w:szCs w:val="32"/>
          <w:u w:val="none" w:color="auto"/>
          <w14:textFill>
            <w14:solidFill>
              <w14:schemeClr w14:val="tx1"/>
            </w14:solidFill>
          </w14:textFill>
        </w:rPr>
        <w:t>三公</w:t>
      </w:r>
      <w:r>
        <w:rPr>
          <w:rFonts w:ascii="Times New Roman" w:hAnsi="Times New Roman" w:eastAsia="Times New Roman" w:cs="Times New Roman"/>
          <w:b/>
          <w:bCs/>
          <w:color w:val="000000" w:themeColor="text1"/>
          <w:kern w:val="0"/>
          <w:sz w:val="32"/>
          <w:szCs w:val="32"/>
          <w:u w:val="none" w:color="auto"/>
          <w:lang w:eastAsia="en-US"/>
          <w14:textFill>
            <w14:solidFill>
              <w14:schemeClr w14:val="tx1"/>
            </w14:solidFill>
          </w14:textFill>
        </w:rPr>
        <w:t>”</w:t>
      </w:r>
      <w:r>
        <w:rPr>
          <w:rFonts w:ascii="楷体" w:hAnsi="楷体" w:eastAsia="楷体" w:cs="楷体"/>
          <w:b/>
          <w:bCs/>
          <w:color w:val="000000" w:themeColor="text1"/>
          <w:kern w:val="0"/>
          <w:sz w:val="32"/>
          <w:szCs w:val="32"/>
          <w:u w:val="none" w:color="auto"/>
          <w14:textFill>
            <w14:solidFill>
              <w14:schemeClr w14:val="tx1"/>
            </w14:solidFill>
          </w14:textFill>
        </w:rPr>
        <w:t>经费支出总体情况说明。</w:t>
      </w:r>
    </w:p>
    <w:p w14:paraId="3206F681">
      <w:pPr>
        <w:pStyle w:val="29"/>
        <w:widowControl/>
        <w:spacing w:before="240" w:after="240" w:line="560" w:lineRule="atLeast"/>
        <w:ind w:firstLine="640"/>
        <w:jc w:val="left"/>
        <w:rPr>
          <w:rFonts w:hint="eastAsia" w:ascii="Times New Roman" w:hAnsi="Times New Roman" w:eastAsia="仿宋" w:cs="Times New Roman"/>
          <w:color w:val="000000" w:themeColor="text1"/>
          <w:kern w:val="0"/>
          <w:sz w:val="24"/>
          <w:u w:val="none" w:color="auto"/>
          <w:lang w:eastAsia="zh-CN"/>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年度财政拨款“三公”经费全年预算</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万元，支出决算</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万元，完成预算的</w:t>
      </w:r>
      <w:r>
        <w:rPr>
          <w:rFonts w:eastAsia="Times New Roman"/>
          <w:color w:val="000000" w:themeColor="text1"/>
          <w:kern w:val="0"/>
          <w:sz w:val="32"/>
          <w:szCs w:val="32"/>
          <w:u w:val="none" w:color="auto"/>
          <w:lang w:eastAsia="en-US"/>
          <w14:textFill>
            <w14:solidFill>
              <w14:schemeClr w14:val="tx1"/>
            </w14:solidFill>
          </w14:textFill>
        </w:rPr>
        <w:t xml:space="preserve"> 100.00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。其中：因公出国（境）费全年预算</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万元，支出决算</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万元，完成预算的</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；公务用车购置及运行维护费全年预算</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万元，支出决算</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万元，完成预算的</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；公务接待费全年预算</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万元，支出决算</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万元，完成预算的</w:t>
      </w:r>
      <w:r>
        <w:rPr>
          <w:rFonts w:eastAsia="Times New Roman"/>
          <w:color w:val="000000" w:themeColor="text1"/>
          <w:kern w:val="0"/>
          <w:sz w:val="32"/>
          <w:szCs w:val="32"/>
          <w:u w:val="none" w:color="auto"/>
          <w:lang w:eastAsia="en-US"/>
          <w14:textFill>
            <w14:solidFill>
              <w14:schemeClr w14:val="tx1"/>
            </w14:solidFill>
          </w14:textFill>
        </w:rPr>
        <w:t xml:space="preserve"> 100.00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年度一般公共预算财政拨款“三公”经费全年预算</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万元，支出决算</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w:t>
      </w:r>
    </w:p>
    <w:p w14:paraId="1020031F">
      <w:pPr>
        <w:pStyle w:val="29"/>
        <w:widowControl/>
        <w:spacing w:before="240" w:after="240"/>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楷体" w:hAnsi="楷体" w:eastAsia="楷体" w:cs="楷体"/>
          <w:b/>
          <w:bCs/>
          <w:color w:val="000000" w:themeColor="text1"/>
          <w:kern w:val="0"/>
          <w:sz w:val="32"/>
          <w:szCs w:val="32"/>
          <w:u w:val="none" w:color="auto"/>
          <w14:textFill>
            <w14:solidFill>
              <w14:schemeClr w14:val="tx1"/>
            </w14:solidFill>
          </w14:textFill>
        </w:rPr>
        <w:t>（二）财政拨款</w:t>
      </w:r>
      <w:r>
        <w:rPr>
          <w:rFonts w:ascii="Times New Roman" w:hAnsi="Times New Roman" w:eastAsia="Times New Roman" w:cs="Times New Roman"/>
          <w:b/>
          <w:bCs/>
          <w:color w:val="000000" w:themeColor="text1"/>
          <w:kern w:val="0"/>
          <w:sz w:val="32"/>
          <w:szCs w:val="32"/>
          <w:u w:val="none" w:color="auto"/>
          <w:lang w:eastAsia="en-US"/>
          <w14:textFill>
            <w14:solidFill>
              <w14:schemeClr w14:val="tx1"/>
            </w14:solidFill>
          </w14:textFill>
        </w:rPr>
        <w:t>“</w:t>
      </w:r>
      <w:r>
        <w:rPr>
          <w:rFonts w:ascii="楷体" w:hAnsi="楷体" w:eastAsia="楷体" w:cs="楷体"/>
          <w:b/>
          <w:bCs/>
          <w:color w:val="000000" w:themeColor="text1"/>
          <w:kern w:val="0"/>
          <w:sz w:val="32"/>
          <w:szCs w:val="32"/>
          <w:u w:val="none" w:color="auto"/>
          <w14:textFill>
            <w14:solidFill>
              <w14:schemeClr w14:val="tx1"/>
            </w14:solidFill>
          </w14:textFill>
        </w:rPr>
        <w:t>三公</w:t>
      </w:r>
      <w:r>
        <w:rPr>
          <w:rFonts w:ascii="Times New Roman" w:hAnsi="Times New Roman" w:eastAsia="Times New Roman" w:cs="Times New Roman"/>
          <w:b/>
          <w:bCs/>
          <w:color w:val="000000" w:themeColor="text1"/>
          <w:kern w:val="0"/>
          <w:sz w:val="32"/>
          <w:szCs w:val="32"/>
          <w:u w:val="none" w:color="auto"/>
          <w:lang w:eastAsia="en-US"/>
          <w14:textFill>
            <w14:solidFill>
              <w14:schemeClr w14:val="tx1"/>
            </w14:solidFill>
          </w14:textFill>
        </w:rPr>
        <w:t>”</w:t>
      </w:r>
      <w:r>
        <w:rPr>
          <w:rFonts w:ascii="楷体" w:hAnsi="楷体" w:eastAsia="楷体" w:cs="楷体"/>
          <w:b/>
          <w:bCs/>
          <w:color w:val="000000" w:themeColor="text1"/>
          <w:kern w:val="0"/>
          <w:sz w:val="32"/>
          <w:szCs w:val="32"/>
          <w:u w:val="none" w:color="auto"/>
          <w14:textFill>
            <w14:solidFill>
              <w14:schemeClr w14:val="tx1"/>
            </w14:solidFill>
          </w14:textFill>
        </w:rPr>
        <w:t>经费支出具体情况说明。</w:t>
      </w:r>
    </w:p>
    <w:p w14:paraId="40DEEA2F">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年度财政拨款“三公”经费支出</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万元。因公出国（境）费支出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；公务用车购置及运行维护费支出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；公务接待费支出</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100.00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。其中：</w:t>
      </w:r>
    </w:p>
    <w:p w14:paraId="471C2B55">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b/>
          <w:bCs/>
          <w:color w:val="000000" w:themeColor="text1"/>
          <w:kern w:val="0"/>
          <w:sz w:val="32"/>
          <w:szCs w:val="32"/>
          <w:u w:val="none" w:color="auto"/>
          <w:lang w:eastAsia="en-US"/>
          <w14:textFill>
            <w14:solidFill>
              <w14:schemeClr w14:val="tx1"/>
            </w14:solidFill>
          </w14:textFill>
        </w:rPr>
        <w:t>1</w:t>
      </w:r>
      <w:r>
        <w:rPr>
          <w:rFonts w:ascii="仿宋" w:hAnsi="仿宋" w:eastAsia="仿宋" w:cs="仿宋"/>
          <w:b/>
          <w:bCs/>
          <w:color w:val="000000" w:themeColor="text1"/>
          <w:kern w:val="0"/>
          <w:sz w:val="32"/>
          <w:szCs w:val="32"/>
          <w:u w:val="none" w:color="auto"/>
          <w:lang w:eastAsia="en-US"/>
          <w14:textFill>
            <w14:solidFill>
              <w14:schemeClr w14:val="tx1"/>
            </w14:solidFill>
          </w14:textFill>
        </w:rPr>
        <w:t>.</w:t>
      </w:r>
      <w:r>
        <w:rPr>
          <w:rFonts w:ascii="仿宋" w:hAnsi="仿宋" w:eastAsia="仿宋" w:cs="仿宋"/>
          <w:b/>
          <w:bCs/>
          <w:color w:val="000000" w:themeColor="text1"/>
          <w:kern w:val="0"/>
          <w:sz w:val="32"/>
          <w:szCs w:val="32"/>
          <w:u w:val="none" w:color="auto"/>
          <w14:textFill>
            <w14:solidFill>
              <w14:schemeClr w14:val="tx1"/>
            </w14:solidFill>
          </w14:textFill>
        </w:rPr>
        <w:t>因公出国（境）费支出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万元，全年出国（境）团组</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个，累计</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人次。与上年决算相比，增加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本单位无</w:t>
      </w:r>
      <w:r>
        <w:rPr>
          <w:rFonts w:ascii="仿宋" w:hAnsi="仿宋" w:eastAsia="仿宋" w:cs="仿宋"/>
          <w:b w:val="0"/>
          <w:bCs w:val="0"/>
          <w:color w:val="000000" w:themeColor="text1"/>
          <w:kern w:val="0"/>
          <w:sz w:val="32"/>
          <w:szCs w:val="32"/>
          <w:u w:val="none" w:color="auto"/>
          <w14:textFill>
            <w14:solidFill>
              <w14:schemeClr w14:val="tx1"/>
            </w14:solidFill>
          </w14:textFill>
        </w:rPr>
        <w:t>因公出国（境）</w:t>
      </w:r>
      <w:r>
        <w:rPr>
          <w:rFonts w:ascii="仿宋" w:hAnsi="仿宋" w:eastAsia="仿宋" w:cs="仿宋"/>
          <w:color w:val="000000" w:themeColor="text1"/>
          <w:kern w:val="0"/>
          <w:sz w:val="32"/>
          <w:szCs w:val="32"/>
          <w:u w:val="none" w:color="auto"/>
          <w14:textFill>
            <w14:solidFill>
              <w14:schemeClr w14:val="tx1"/>
            </w14:solidFill>
          </w14:textFill>
        </w:rPr>
        <w:t>。</w:t>
      </w:r>
    </w:p>
    <w:p w14:paraId="1C743485">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b/>
          <w:bCs/>
          <w:color w:val="000000" w:themeColor="text1"/>
          <w:kern w:val="0"/>
          <w:sz w:val="32"/>
          <w:szCs w:val="32"/>
          <w:u w:val="none" w:color="auto"/>
          <w:lang w:eastAsia="en-US"/>
          <w14:textFill>
            <w14:solidFill>
              <w14:schemeClr w14:val="tx1"/>
            </w14:solidFill>
          </w14:textFill>
        </w:rPr>
        <w:t>2</w:t>
      </w:r>
      <w:r>
        <w:rPr>
          <w:rFonts w:ascii="仿宋" w:hAnsi="仿宋" w:eastAsia="仿宋" w:cs="仿宋"/>
          <w:b/>
          <w:bCs/>
          <w:color w:val="000000" w:themeColor="text1"/>
          <w:kern w:val="0"/>
          <w:sz w:val="32"/>
          <w:szCs w:val="32"/>
          <w:u w:val="none" w:color="auto"/>
          <w:lang w:eastAsia="en-US"/>
          <w14:textFill>
            <w14:solidFill>
              <w14:schemeClr w14:val="tx1"/>
            </w14:solidFill>
          </w14:textFill>
        </w:rPr>
        <w:t>.</w:t>
      </w:r>
      <w:r>
        <w:rPr>
          <w:rFonts w:ascii="仿宋" w:hAnsi="仿宋" w:eastAsia="仿宋" w:cs="仿宋"/>
          <w:b/>
          <w:bCs/>
          <w:color w:val="000000" w:themeColor="text1"/>
          <w:kern w:val="0"/>
          <w:sz w:val="32"/>
          <w:szCs w:val="32"/>
          <w:u w:val="none" w:color="auto"/>
          <w14:textFill>
            <w14:solidFill>
              <w14:schemeClr w14:val="tx1"/>
            </w14:solidFill>
          </w14:textFill>
        </w:rPr>
        <w:t>公务用车购置及运行维护费支出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万元。其中：</w:t>
      </w:r>
    </w:p>
    <w:p w14:paraId="7DE405AB">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w:t>
      </w:r>
      <w:r>
        <w:rPr>
          <w:rFonts w:eastAsia="Times New Roman"/>
          <w:b/>
          <w:bCs/>
          <w:color w:val="000000" w:themeColor="text1"/>
          <w:kern w:val="0"/>
          <w:sz w:val="32"/>
          <w:szCs w:val="32"/>
          <w:u w:val="none" w:color="auto"/>
          <w:lang w:eastAsia="en-US"/>
          <w14:textFill>
            <w14:solidFill>
              <w14:schemeClr w14:val="tx1"/>
            </w14:solidFill>
          </w14:textFill>
        </w:rPr>
        <w:t>1</w:t>
      </w:r>
      <w:r>
        <w:rPr>
          <w:rFonts w:ascii="仿宋" w:hAnsi="仿宋" w:eastAsia="仿宋" w:cs="仿宋"/>
          <w:b/>
          <w:bCs/>
          <w:color w:val="000000" w:themeColor="text1"/>
          <w:kern w:val="0"/>
          <w:sz w:val="32"/>
          <w:szCs w:val="32"/>
          <w:u w:val="none" w:color="auto"/>
          <w14:textFill>
            <w14:solidFill>
              <w14:schemeClr w14:val="tx1"/>
            </w14:solidFill>
          </w14:textFill>
        </w:rPr>
        <w:t>）公务用车购置支出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万元。本年度使用财政拨款购置公务用车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辆，开支内容：</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无</w:t>
      </w:r>
      <w:r>
        <w:rPr>
          <w:rFonts w:ascii="仿宋" w:hAnsi="仿宋" w:eastAsia="仿宋" w:cs="仿宋"/>
          <w:color w:val="000000" w:themeColor="text1"/>
          <w:kern w:val="0"/>
          <w:sz w:val="32"/>
          <w:szCs w:val="32"/>
          <w:u w:val="none" w:color="auto"/>
          <w14:textFill>
            <w14:solidFill>
              <w14:schemeClr w14:val="tx1"/>
            </w14:solidFill>
          </w14:textFill>
        </w:rPr>
        <w:t>。与上年决算相比，增加</w:t>
      </w:r>
      <w:r>
        <w:rPr>
          <w:rFonts w:eastAsia="Times New Roman"/>
          <w:color w:val="000000" w:themeColor="text1"/>
          <w:kern w:val="0"/>
          <w:sz w:val="32"/>
          <w:szCs w:val="32"/>
          <w:u w:val="none" w:color="auto"/>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本单位无公务用车</w:t>
      </w:r>
      <w:r>
        <w:rPr>
          <w:rFonts w:ascii="仿宋" w:hAnsi="仿宋" w:eastAsia="仿宋" w:cs="仿宋"/>
          <w:color w:val="000000" w:themeColor="text1"/>
          <w:kern w:val="0"/>
          <w:sz w:val="32"/>
          <w:szCs w:val="32"/>
          <w:u w:val="none" w:color="auto"/>
          <w14:textFill>
            <w14:solidFill>
              <w14:schemeClr w14:val="tx1"/>
            </w14:solidFill>
          </w14:textFill>
        </w:rPr>
        <w:t>。</w:t>
      </w:r>
    </w:p>
    <w:p w14:paraId="50C104E0">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w:t>
      </w:r>
      <w:r>
        <w:rPr>
          <w:rFonts w:eastAsia="Times New Roman"/>
          <w:b/>
          <w:bCs/>
          <w:color w:val="000000" w:themeColor="text1"/>
          <w:kern w:val="0"/>
          <w:sz w:val="32"/>
          <w:szCs w:val="32"/>
          <w:u w:val="none" w:color="auto"/>
          <w:lang w:eastAsia="en-US"/>
          <w14:textFill>
            <w14:solidFill>
              <w14:schemeClr w14:val="tx1"/>
            </w14:solidFill>
          </w14:textFill>
        </w:rPr>
        <w:t>2</w:t>
      </w:r>
      <w:r>
        <w:rPr>
          <w:rFonts w:ascii="仿宋" w:hAnsi="仿宋" w:eastAsia="仿宋" w:cs="仿宋"/>
          <w:b/>
          <w:bCs/>
          <w:color w:val="000000" w:themeColor="text1"/>
          <w:kern w:val="0"/>
          <w:sz w:val="32"/>
          <w:szCs w:val="32"/>
          <w:u w:val="none" w:color="auto"/>
          <w14:textFill>
            <w14:solidFill>
              <w14:schemeClr w14:val="tx1"/>
            </w14:solidFill>
          </w14:textFill>
        </w:rPr>
        <w:t>）公务用车运行维护费支出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万元。公务用车运行维护费主要用于按规定保留的公务用车的燃料费、新能源汽车充电费、维修费、过桥过路费、保险费、安全奖励费用等支出。截至</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w:t>
      </w:r>
      <w:r>
        <w:rPr>
          <w:rFonts w:eastAsia="Times New Roman"/>
          <w:color w:val="000000" w:themeColor="text1"/>
          <w:kern w:val="0"/>
          <w:sz w:val="32"/>
          <w:szCs w:val="32"/>
          <w:u w:val="none" w:color="auto"/>
          <w:lang w:eastAsia="en-US"/>
          <w14:textFill>
            <w14:solidFill>
              <w14:schemeClr w14:val="tx1"/>
            </w14:solidFill>
          </w14:textFill>
        </w:rPr>
        <w:t>12</w:t>
      </w:r>
      <w:r>
        <w:rPr>
          <w:rFonts w:ascii="仿宋" w:hAnsi="仿宋" w:eastAsia="仿宋" w:cs="仿宋"/>
          <w:color w:val="000000" w:themeColor="text1"/>
          <w:kern w:val="0"/>
          <w:sz w:val="32"/>
          <w:szCs w:val="32"/>
          <w:u w:val="none" w:color="auto"/>
          <w14:textFill>
            <w14:solidFill>
              <w14:schemeClr w14:val="tx1"/>
            </w14:solidFill>
          </w14:textFill>
        </w:rPr>
        <w:t>月</w:t>
      </w:r>
      <w:r>
        <w:rPr>
          <w:rFonts w:eastAsia="Times New Roman"/>
          <w:color w:val="000000" w:themeColor="text1"/>
          <w:kern w:val="0"/>
          <w:sz w:val="32"/>
          <w:szCs w:val="32"/>
          <w:u w:val="none" w:color="auto"/>
          <w:lang w:eastAsia="en-US"/>
          <w14:textFill>
            <w14:solidFill>
              <w14:schemeClr w14:val="tx1"/>
            </w14:solidFill>
          </w14:textFill>
        </w:rPr>
        <w:t>31</w:t>
      </w:r>
      <w:r>
        <w:rPr>
          <w:rFonts w:ascii="仿宋" w:hAnsi="仿宋" w:eastAsia="仿宋" w:cs="仿宋"/>
          <w:color w:val="000000" w:themeColor="text1"/>
          <w:kern w:val="0"/>
          <w:sz w:val="32"/>
          <w:szCs w:val="32"/>
          <w:u w:val="none" w:color="auto"/>
          <w14:textFill>
            <w14:solidFill>
              <w14:schemeClr w14:val="tx1"/>
            </w14:solidFill>
          </w14:textFill>
        </w:rPr>
        <w:t>日，使用财政拨款开支的公务用车保有量为</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辆。与上年决算相比，增加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本单位无公务用车</w:t>
      </w:r>
      <w:r>
        <w:rPr>
          <w:rFonts w:ascii="仿宋" w:hAnsi="仿宋" w:eastAsia="仿宋" w:cs="仿宋"/>
          <w:color w:val="000000" w:themeColor="text1"/>
          <w:kern w:val="0"/>
          <w:sz w:val="32"/>
          <w:szCs w:val="32"/>
          <w:u w:val="none" w:color="auto"/>
          <w14:textFill>
            <w14:solidFill>
              <w14:schemeClr w14:val="tx1"/>
            </w14:solidFill>
          </w14:textFill>
        </w:rPr>
        <w:t>。</w:t>
      </w:r>
    </w:p>
    <w:p w14:paraId="6F7B578D">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b/>
          <w:bCs/>
          <w:color w:val="000000" w:themeColor="text1"/>
          <w:kern w:val="0"/>
          <w:sz w:val="32"/>
          <w:szCs w:val="32"/>
          <w:u w:val="none" w:color="auto"/>
          <w:lang w:eastAsia="en-US"/>
          <w14:textFill>
            <w14:solidFill>
              <w14:schemeClr w14:val="tx1"/>
            </w14:solidFill>
          </w14:textFill>
        </w:rPr>
        <w:t>3</w:t>
      </w:r>
      <w:r>
        <w:rPr>
          <w:rFonts w:ascii="仿宋" w:hAnsi="仿宋" w:eastAsia="仿宋" w:cs="仿宋"/>
          <w:b/>
          <w:bCs/>
          <w:color w:val="000000" w:themeColor="text1"/>
          <w:kern w:val="0"/>
          <w:sz w:val="32"/>
          <w:szCs w:val="32"/>
          <w:u w:val="none" w:color="auto"/>
          <w:lang w:eastAsia="en-US"/>
          <w14:textFill>
            <w14:solidFill>
              <w14:schemeClr w14:val="tx1"/>
            </w14:solidFill>
          </w14:textFill>
        </w:rPr>
        <w:t>.</w:t>
      </w:r>
      <w:r>
        <w:rPr>
          <w:rFonts w:ascii="仿宋" w:hAnsi="仿宋" w:eastAsia="仿宋" w:cs="仿宋"/>
          <w:b/>
          <w:bCs/>
          <w:color w:val="000000" w:themeColor="text1"/>
          <w:kern w:val="0"/>
          <w:sz w:val="32"/>
          <w:szCs w:val="32"/>
          <w:u w:val="none" w:color="auto"/>
          <w14:textFill>
            <w14:solidFill>
              <w14:schemeClr w14:val="tx1"/>
            </w14:solidFill>
          </w14:textFill>
        </w:rPr>
        <w:t>公务接待费支出</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万元。其中：国内公务接待支出</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万元，接待</w:t>
      </w:r>
      <w:r>
        <w:rPr>
          <w:rFonts w:eastAsia="Times New Roman"/>
          <w:color w:val="000000" w:themeColor="text1"/>
          <w:kern w:val="0"/>
          <w:sz w:val="32"/>
          <w:szCs w:val="32"/>
          <w:u w:val="none" w:color="auto"/>
          <w:lang w:eastAsia="en-US"/>
          <w14:textFill>
            <w14:solidFill>
              <w14:schemeClr w14:val="tx1"/>
            </w14:solidFill>
          </w14:textFill>
        </w:rPr>
        <w:t xml:space="preserve">1 </w:t>
      </w:r>
      <w:r>
        <w:rPr>
          <w:rFonts w:ascii="仿宋" w:hAnsi="仿宋" w:eastAsia="仿宋" w:cs="仿宋"/>
          <w:color w:val="000000" w:themeColor="text1"/>
          <w:kern w:val="0"/>
          <w:sz w:val="32"/>
          <w:szCs w:val="32"/>
          <w:u w:val="none" w:color="auto"/>
          <w14:textFill>
            <w14:solidFill>
              <w14:schemeClr w14:val="tx1"/>
            </w14:solidFill>
          </w14:textFill>
        </w:rPr>
        <w:t>批次，</w:t>
      </w:r>
      <w:r>
        <w:rPr>
          <w:rFonts w:eastAsia="Times New Roman"/>
          <w:color w:val="000000" w:themeColor="text1"/>
          <w:kern w:val="0"/>
          <w:sz w:val="32"/>
          <w:szCs w:val="32"/>
          <w:u w:val="none" w:color="auto"/>
          <w:lang w:eastAsia="en-US"/>
          <w14:textFill>
            <w14:solidFill>
              <w14:schemeClr w14:val="tx1"/>
            </w14:solidFill>
          </w14:textFill>
        </w:rPr>
        <w:t xml:space="preserve">2 </w:t>
      </w:r>
      <w:r>
        <w:rPr>
          <w:rFonts w:ascii="仿宋" w:hAnsi="仿宋" w:eastAsia="仿宋" w:cs="仿宋"/>
          <w:color w:val="000000" w:themeColor="text1"/>
          <w:kern w:val="0"/>
          <w:sz w:val="32"/>
          <w:szCs w:val="32"/>
          <w:u w:val="none" w:color="auto"/>
          <w14:textFill>
            <w14:solidFill>
              <w14:schemeClr w14:val="tx1"/>
            </w14:solidFill>
          </w14:textFill>
        </w:rPr>
        <w:t>人次，开支内容：</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公务接待</w:t>
      </w:r>
      <w:r>
        <w:rPr>
          <w:rFonts w:ascii="仿宋" w:hAnsi="仿宋" w:eastAsia="仿宋" w:cs="仿宋"/>
          <w:color w:val="000000" w:themeColor="text1"/>
          <w:kern w:val="0"/>
          <w:sz w:val="32"/>
          <w:szCs w:val="32"/>
          <w:u w:val="none" w:color="auto"/>
          <w14:textFill>
            <w14:solidFill>
              <w14:schemeClr w14:val="tx1"/>
            </w14:solidFill>
          </w14:textFill>
        </w:rPr>
        <w:t>；国（境）外公务接待支出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万元，接待</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批次，</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人次，开支内容：</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无</w:t>
      </w:r>
      <w:r>
        <w:rPr>
          <w:rFonts w:ascii="仿宋" w:hAnsi="仿宋" w:eastAsia="仿宋" w:cs="仿宋"/>
          <w:color w:val="000000" w:themeColor="text1"/>
          <w:kern w:val="0"/>
          <w:sz w:val="32"/>
          <w:szCs w:val="32"/>
          <w:u w:val="none" w:color="auto"/>
          <w14:textFill>
            <w14:solidFill>
              <w14:schemeClr w14:val="tx1"/>
            </w14:solidFill>
          </w14:textFill>
        </w:rPr>
        <w:t>。与上年决算相比，减少</w:t>
      </w:r>
      <w:r>
        <w:rPr>
          <w:rFonts w:eastAsia="Times New Roman"/>
          <w:color w:val="000000" w:themeColor="text1"/>
          <w:kern w:val="0"/>
          <w:sz w:val="32"/>
          <w:szCs w:val="32"/>
          <w:u w:val="none" w:color="auto"/>
          <w:lang w:eastAsia="en-US"/>
          <w14:textFill>
            <w14:solidFill>
              <w14:schemeClr w14:val="tx1"/>
            </w14:solidFill>
          </w14:textFill>
        </w:rPr>
        <w:t>0.28</w:t>
      </w:r>
      <w:r>
        <w:rPr>
          <w:rFonts w:ascii="仿宋" w:hAnsi="仿宋" w:eastAsia="仿宋" w:cs="仿宋"/>
          <w:color w:val="000000" w:themeColor="text1"/>
          <w:kern w:val="0"/>
          <w:sz w:val="32"/>
          <w:szCs w:val="32"/>
          <w:u w:val="none" w:color="auto"/>
          <w14:textFill>
            <w14:solidFill>
              <w14:schemeClr w14:val="tx1"/>
            </w14:solidFill>
          </w14:textFill>
        </w:rPr>
        <w:t>万元，下降</w:t>
      </w:r>
      <w:r>
        <w:rPr>
          <w:rFonts w:eastAsia="Times New Roman"/>
          <w:color w:val="000000" w:themeColor="text1"/>
          <w:kern w:val="0"/>
          <w:sz w:val="32"/>
          <w:szCs w:val="32"/>
          <w:u w:val="none" w:color="auto"/>
          <w:lang w:eastAsia="en-US"/>
          <w14:textFill>
            <w14:solidFill>
              <w14:schemeClr w14:val="tx1"/>
            </w14:solidFill>
          </w14:textFill>
        </w:rPr>
        <w:t>92.27</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公务接待减少</w:t>
      </w:r>
      <w:r>
        <w:rPr>
          <w:rFonts w:ascii="仿宋" w:hAnsi="仿宋" w:eastAsia="仿宋" w:cs="仿宋"/>
          <w:color w:val="000000" w:themeColor="text1"/>
          <w:kern w:val="0"/>
          <w:sz w:val="32"/>
          <w:szCs w:val="32"/>
          <w:u w:val="none" w:color="auto"/>
          <w14:textFill>
            <w14:solidFill>
              <w14:schemeClr w14:val="tx1"/>
            </w14:solidFill>
          </w14:textFill>
        </w:rPr>
        <w:t>。</w:t>
      </w:r>
    </w:p>
    <w:p w14:paraId="3A485831">
      <w:pPr>
        <w:pStyle w:val="29"/>
        <w:widowControl/>
        <w:spacing w:before="240" w:after="240" w:line="600" w:lineRule="atLeast"/>
        <w:ind w:firstLine="643"/>
        <w:jc w:val="left"/>
        <w:rPr>
          <w:rFonts w:ascii="黑体" w:hAnsi="黑体" w:eastAsia="黑体" w:cs="黑体"/>
          <w:b/>
          <w:bCs/>
          <w:color w:val="000000" w:themeColor="text1"/>
          <w:kern w:val="0"/>
          <w:sz w:val="32"/>
          <w:szCs w:val="32"/>
          <w:u w:val="none" w:color="auto"/>
          <w14:textFill>
            <w14:solidFill>
              <w14:schemeClr w14:val="tx1"/>
            </w14:solidFill>
          </w14:textFill>
        </w:rPr>
      </w:pPr>
    </w:p>
    <w:p w14:paraId="540D38E5">
      <w:pPr>
        <w:pStyle w:val="29"/>
        <w:widowControl/>
        <w:spacing w:before="240" w:after="240" w:line="600" w:lineRule="atLeast"/>
        <w:ind w:firstLine="643"/>
        <w:jc w:val="left"/>
        <w:rPr>
          <w:rFonts w:ascii="黑体" w:hAnsi="黑体" w:eastAsia="黑体" w:cs="黑体"/>
          <w:b/>
          <w:bCs/>
          <w:color w:val="000000" w:themeColor="text1"/>
          <w:kern w:val="0"/>
          <w:sz w:val="32"/>
          <w:szCs w:val="32"/>
          <w:u w:val="none" w:color="auto"/>
          <w14:textFill>
            <w14:solidFill>
              <w14:schemeClr w14:val="tx1"/>
            </w14:solidFill>
          </w14:textFill>
        </w:rPr>
      </w:pPr>
    </w:p>
    <w:p w14:paraId="0A458DAF">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九、政府性基金预算财政拨款支出决算情况说明</w:t>
      </w:r>
    </w:p>
    <w:p w14:paraId="49CAB06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年度政府性基金预算财政拨款支出决算</w:t>
      </w:r>
      <w:r>
        <w:rPr>
          <w:rFonts w:eastAsia="Times New Roman"/>
          <w:color w:val="000000" w:themeColor="text1"/>
          <w:kern w:val="0"/>
          <w:sz w:val="32"/>
          <w:szCs w:val="32"/>
          <w:u w:val="none" w:color="auto"/>
          <w:lang w:eastAsia="en-US"/>
          <w14:textFill>
            <w14:solidFill>
              <w14:schemeClr w14:val="tx1"/>
            </w14:solidFill>
          </w14:textFill>
        </w:rPr>
        <w:t xml:space="preserve"> 400.00</w:t>
      </w:r>
      <w:r>
        <w:rPr>
          <w:rFonts w:ascii="仿宋" w:hAnsi="仿宋" w:eastAsia="仿宋" w:cs="仿宋"/>
          <w:color w:val="000000" w:themeColor="text1"/>
          <w:kern w:val="0"/>
          <w:sz w:val="32"/>
          <w:szCs w:val="32"/>
          <w:u w:val="none" w:color="auto"/>
          <w14:textFill>
            <w14:solidFill>
              <w14:schemeClr w14:val="tx1"/>
            </w14:solidFill>
          </w14:textFill>
        </w:rPr>
        <w:t>万元。与上年决算相比，增加</w:t>
      </w:r>
      <w:r>
        <w:rPr>
          <w:rFonts w:eastAsia="Times New Roman"/>
          <w:color w:val="000000" w:themeColor="text1"/>
          <w:kern w:val="0"/>
          <w:sz w:val="32"/>
          <w:szCs w:val="32"/>
          <w:u w:val="none" w:color="auto"/>
          <w:lang w:eastAsia="en-US"/>
          <w14:textFill>
            <w14:solidFill>
              <w14:schemeClr w14:val="tx1"/>
            </w14:solidFill>
          </w14:textFill>
        </w:rPr>
        <w:t xml:space="preserve"> 400.00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eastAsia="SimSun" w:cs="Times New Roman"/>
          <w:b/>
          <w:bCs/>
          <w:color w:val="000000" w:themeColor="text1"/>
          <w:kern w:val="0"/>
          <w:sz w:val="32"/>
          <w:szCs w:val="32"/>
          <w:u w:val="none" w:color="auto"/>
          <w:lang w:eastAsia="zh-CN"/>
          <w14:textFill>
            <w14:solidFill>
              <w14:schemeClr w14:val="tx1"/>
            </w14:solidFill>
          </w14:textFill>
        </w:rPr>
        <w:t>市财政追加金川南路项目资金</w:t>
      </w:r>
      <w:r>
        <w:rPr>
          <w:rFonts w:ascii="仿宋" w:hAnsi="仿宋" w:eastAsia="仿宋" w:cs="仿宋"/>
          <w:b/>
          <w:bCs/>
          <w:color w:val="000000" w:themeColor="text1"/>
          <w:kern w:val="0"/>
          <w:sz w:val="32"/>
          <w:szCs w:val="32"/>
          <w:u w:val="none" w:color="auto"/>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其中：</w:t>
      </w:r>
    </w:p>
    <w:p w14:paraId="29B1F71A">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（一）</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其他支出</w:t>
      </w:r>
      <w:r>
        <w:rPr>
          <w:rFonts w:ascii="仿宋" w:hAnsi="仿宋" w:eastAsia="仿宋" w:cs="仿宋"/>
          <w:color w:val="000000" w:themeColor="text1"/>
          <w:kern w:val="0"/>
          <w:sz w:val="32"/>
          <w:szCs w:val="32"/>
          <w:u w:val="none" w:color="auto"/>
          <w14:textFill>
            <w14:solidFill>
              <w14:schemeClr w14:val="tx1"/>
            </w14:solidFill>
          </w14:textFill>
        </w:rPr>
        <w:t>（类）</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其他政府性基金及对应专项债务收入安排的支出</w:t>
      </w:r>
      <w:r>
        <w:rPr>
          <w:rFonts w:ascii="仿宋" w:hAnsi="仿宋" w:eastAsia="仿宋" w:cs="仿宋"/>
          <w:color w:val="000000" w:themeColor="text1"/>
          <w:kern w:val="0"/>
          <w:sz w:val="32"/>
          <w:szCs w:val="32"/>
          <w:u w:val="none" w:color="auto"/>
          <w14:textFill>
            <w14:solidFill>
              <w14:schemeClr w14:val="tx1"/>
            </w14:solidFill>
          </w14:textFill>
        </w:rPr>
        <w:t>（款）</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其他政府性基金债务收入安排的支出</w:t>
      </w:r>
      <w:r>
        <w:rPr>
          <w:rFonts w:ascii="仿宋" w:hAnsi="仿宋" w:eastAsia="仿宋" w:cs="仿宋"/>
          <w:color w:val="000000" w:themeColor="text1"/>
          <w:kern w:val="0"/>
          <w:sz w:val="32"/>
          <w:szCs w:val="32"/>
          <w:u w:val="none" w:color="auto"/>
          <w14:textFill>
            <w14:solidFill>
              <w14:schemeClr w14:val="tx1"/>
            </w14:solidFill>
          </w14:textFill>
        </w:rPr>
        <w:t>（项）支出</w:t>
      </w:r>
      <w:r>
        <w:rPr>
          <w:rFonts w:hint="eastAsia" w:eastAsia="SimSun"/>
          <w:color w:val="000000" w:themeColor="text1"/>
          <w:kern w:val="0"/>
          <w:sz w:val="32"/>
          <w:szCs w:val="32"/>
          <w:u w:val="none" w:color="auto"/>
          <w:lang w:val="en-US" w:eastAsia="zh-CN"/>
          <w14:textFill>
            <w14:solidFill>
              <w14:schemeClr w14:val="tx1"/>
            </w14:solidFill>
          </w14:textFill>
        </w:rPr>
        <w:t>400</w:t>
      </w:r>
      <w:r>
        <w:rPr>
          <w:rFonts w:ascii="仿宋" w:hAnsi="仿宋" w:eastAsia="仿宋" w:cs="仿宋"/>
          <w:color w:val="000000" w:themeColor="text1"/>
          <w:kern w:val="0"/>
          <w:sz w:val="32"/>
          <w:szCs w:val="32"/>
          <w:u w:val="none" w:color="auto"/>
          <w14:textFill>
            <w14:solidFill>
              <w14:schemeClr w14:val="tx1"/>
            </w14:solidFill>
          </w14:textFill>
        </w:rPr>
        <w:t>万元，主要用于</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金川南路项目建设</w:t>
      </w:r>
      <w:r>
        <w:rPr>
          <w:rFonts w:ascii="仿宋" w:hAnsi="仿宋" w:eastAsia="仿宋" w:cs="仿宋"/>
          <w:color w:val="000000" w:themeColor="text1"/>
          <w:kern w:val="0"/>
          <w:sz w:val="32"/>
          <w:szCs w:val="32"/>
          <w:u w:val="none" w:color="auto"/>
          <w14:textFill>
            <w14:solidFill>
              <w14:schemeClr w14:val="tx1"/>
            </w14:solidFill>
          </w14:textFill>
        </w:rPr>
        <w:t>。</w:t>
      </w:r>
    </w:p>
    <w:p w14:paraId="0EBD0BC7">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十、国有资本经营预算财政拨款支出决算情况说明</w:t>
      </w:r>
    </w:p>
    <w:p w14:paraId="6551B6A9">
      <w:pPr>
        <w:pStyle w:val="29"/>
        <w:widowControl/>
        <w:spacing w:before="240" w:after="240" w:line="560" w:lineRule="atLeast"/>
        <w:ind w:firstLine="640"/>
        <w:jc w:val="left"/>
        <w:rPr>
          <w:rFonts w:ascii="黑体" w:hAnsi="黑体" w:eastAsia="黑体" w:cs="黑体"/>
          <w:b/>
          <w:bCs/>
          <w:color w:val="000000" w:themeColor="text1"/>
          <w:kern w:val="0"/>
          <w:sz w:val="32"/>
          <w:szCs w:val="32"/>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年度国有资本经营预算财政拨款支出决算</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万元。与上年决算相比，增加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，变动原因：本年无国有资本经营预算财政拨款收、支、余。</w:t>
      </w:r>
    </w:p>
    <w:p w14:paraId="48591775">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十一、机关运行经费（公用经费）支出决算情况说明</w:t>
      </w:r>
    </w:p>
    <w:p w14:paraId="3C3F4B3B">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 xml:space="preserve">内蒙古自治区巴彦淖尔市城市新区发展中心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年度公用经费支出决算</w:t>
      </w:r>
      <w:r>
        <w:rPr>
          <w:rFonts w:eastAsia="Times New Roman"/>
          <w:color w:val="000000" w:themeColor="text1"/>
          <w:kern w:val="0"/>
          <w:sz w:val="32"/>
          <w:szCs w:val="32"/>
          <w:u w:val="none" w:color="auto"/>
          <w:lang w:eastAsia="en-US"/>
          <w14:textFill>
            <w14:solidFill>
              <w14:schemeClr w14:val="tx1"/>
            </w14:solidFill>
          </w14:textFill>
        </w:rPr>
        <w:t xml:space="preserve"> 12.45</w:t>
      </w:r>
      <w:r>
        <w:rPr>
          <w:rFonts w:ascii="仿宋" w:hAnsi="仿宋" w:eastAsia="仿宋" w:cs="仿宋"/>
          <w:color w:val="000000" w:themeColor="text1"/>
          <w:kern w:val="0"/>
          <w:sz w:val="32"/>
          <w:szCs w:val="32"/>
          <w:u w:val="none" w:color="auto"/>
          <w14:textFill>
            <w14:solidFill>
              <w14:schemeClr w14:val="tx1"/>
            </w14:solidFill>
          </w14:textFill>
        </w:rPr>
        <w:t>万元，与上年决算相比，增加</w:t>
      </w:r>
      <w:r>
        <w:rPr>
          <w:rFonts w:eastAsia="Times New Roman"/>
          <w:color w:val="000000" w:themeColor="text1"/>
          <w:kern w:val="0"/>
          <w:sz w:val="32"/>
          <w:szCs w:val="32"/>
          <w:u w:val="none" w:color="auto"/>
          <w:lang w:eastAsia="en-US"/>
          <w14:textFill>
            <w14:solidFill>
              <w14:schemeClr w14:val="tx1"/>
            </w14:solidFill>
          </w14:textFill>
        </w:rPr>
        <w:t xml:space="preserve"> 1.00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8.75</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人员增加</w:t>
      </w:r>
      <w:r>
        <w:rPr>
          <w:rFonts w:ascii="仿宋" w:hAnsi="仿宋" w:eastAsia="仿宋" w:cs="仿宋"/>
          <w:color w:val="000000" w:themeColor="text1"/>
          <w:kern w:val="0"/>
          <w:sz w:val="32"/>
          <w:szCs w:val="32"/>
          <w:u w:val="none" w:color="auto"/>
          <w14:textFill>
            <w14:solidFill>
              <w14:schemeClr w14:val="tx1"/>
            </w14:solidFill>
          </w14:textFill>
        </w:rPr>
        <w:t>。其中，机关运行经费支出决算</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万元。比上年决算相比，增加</w:t>
      </w:r>
      <w:r>
        <w:rPr>
          <w:rFonts w:eastAsia="Times New Roman"/>
          <w:color w:val="000000" w:themeColor="text1"/>
          <w:kern w:val="0"/>
          <w:sz w:val="32"/>
          <w:szCs w:val="32"/>
          <w:u w:val="none" w:color="auto"/>
          <w:lang w:eastAsia="en-US"/>
          <w14:textFill>
            <w14:solidFill>
              <w14:schemeClr w14:val="tx1"/>
            </w14:solidFill>
          </w14:textFill>
        </w:rPr>
        <w:t>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，变动原因：我单位类型为</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公益一</w:t>
      </w:r>
      <w:r>
        <w:rPr>
          <w:rFonts w:ascii="仿宋" w:hAnsi="仿宋" w:eastAsia="仿宋" w:cs="仿宋"/>
          <w:color w:val="000000" w:themeColor="text1"/>
          <w:kern w:val="0"/>
          <w:sz w:val="32"/>
          <w:szCs w:val="32"/>
          <w:u w:val="none" w:color="auto"/>
          <w14:textFill>
            <w14:solidFill>
              <w14:schemeClr w14:val="tx1"/>
            </w14:solidFill>
          </w14:textFill>
        </w:rPr>
        <w:t>类单位（依据政府编制管理部门确定的单位性质），无机关运行经费支出。</w:t>
      </w:r>
    </w:p>
    <w:p w14:paraId="421C5278">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十二、政府采购支出决算情况说明</w:t>
      </w:r>
    </w:p>
    <w:p w14:paraId="37DE2736">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年度政府采购支出总额</w:t>
      </w:r>
      <w:r>
        <w:rPr>
          <w:rFonts w:eastAsia="Times New Roman"/>
          <w:color w:val="000000" w:themeColor="text1"/>
          <w:kern w:val="0"/>
          <w:sz w:val="32"/>
          <w:szCs w:val="32"/>
          <w:u w:val="none" w:color="auto"/>
          <w:lang w:eastAsia="en-US"/>
          <w14:textFill>
            <w14:solidFill>
              <w14:schemeClr w14:val="tx1"/>
            </w14:solidFill>
          </w14:textFill>
        </w:rPr>
        <w:t xml:space="preserve"> 6.18</w:t>
      </w:r>
      <w:r>
        <w:rPr>
          <w:rFonts w:ascii="仿宋" w:hAnsi="仿宋" w:eastAsia="仿宋" w:cs="仿宋"/>
          <w:color w:val="000000" w:themeColor="text1"/>
          <w:kern w:val="0"/>
          <w:sz w:val="32"/>
          <w:szCs w:val="32"/>
          <w:u w:val="none" w:color="auto"/>
          <w14:textFill>
            <w14:solidFill>
              <w14:schemeClr w14:val="tx1"/>
            </w14:solidFill>
          </w14:textFill>
        </w:rPr>
        <w:t>万元，其中：政府采购货物支出</w:t>
      </w:r>
      <w:r>
        <w:rPr>
          <w:rFonts w:eastAsia="Times New Roman"/>
          <w:color w:val="000000" w:themeColor="text1"/>
          <w:kern w:val="0"/>
          <w:sz w:val="32"/>
          <w:szCs w:val="32"/>
          <w:u w:val="none" w:color="auto"/>
          <w:lang w:eastAsia="en-US"/>
          <w14:textFill>
            <w14:solidFill>
              <w14:schemeClr w14:val="tx1"/>
            </w14:solidFill>
          </w14:textFill>
        </w:rPr>
        <w:t xml:space="preserve"> 2.85</w:t>
      </w:r>
      <w:r>
        <w:rPr>
          <w:rFonts w:ascii="仿宋" w:hAnsi="仿宋" w:eastAsia="仿宋" w:cs="仿宋"/>
          <w:color w:val="000000" w:themeColor="text1"/>
          <w:kern w:val="0"/>
          <w:sz w:val="32"/>
          <w:szCs w:val="32"/>
          <w:u w:val="none" w:color="auto"/>
          <w14:textFill>
            <w14:solidFill>
              <w14:schemeClr w14:val="tx1"/>
            </w14:solidFill>
          </w14:textFill>
        </w:rPr>
        <w:t>万元、政府采购工程支出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万元、政府采购服务支出</w:t>
      </w:r>
      <w:r>
        <w:rPr>
          <w:rFonts w:eastAsia="Times New Roman"/>
          <w:color w:val="000000" w:themeColor="text1"/>
          <w:kern w:val="0"/>
          <w:sz w:val="32"/>
          <w:szCs w:val="32"/>
          <w:u w:val="none" w:color="auto"/>
          <w:lang w:eastAsia="en-US"/>
          <w14:textFill>
            <w14:solidFill>
              <w14:schemeClr w14:val="tx1"/>
            </w14:solidFill>
          </w14:textFill>
        </w:rPr>
        <w:t xml:space="preserve"> 3.33</w:t>
      </w:r>
      <w:r>
        <w:rPr>
          <w:rFonts w:ascii="仿宋" w:hAnsi="仿宋" w:eastAsia="仿宋" w:cs="仿宋"/>
          <w:color w:val="000000" w:themeColor="text1"/>
          <w:kern w:val="0"/>
          <w:sz w:val="32"/>
          <w:szCs w:val="32"/>
          <w:u w:val="none" w:color="auto"/>
          <w14:textFill>
            <w14:solidFill>
              <w14:schemeClr w14:val="tx1"/>
            </w14:solidFill>
          </w14:textFill>
        </w:rPr>
        <w:t>万元。政府采购授予中小企业合同金额</w:t>
      </w:r>
      <w:r>
        <w:rPr>
          <w:rFonts w:eastAsia="Times New Roman"/>
          <w:color w:val="000000" w:themeColor="text1"/>
          <w:kern w:val="0"/>
          <w:sz w:val="32"/>
          <w:szCs w:val="32"/>
          <w:u w:val="none" w:color="auto"/>
          <w:lang w:eastAsia="en-US"/>
          <w14:textFill>
            <w14:solidFill>
              <w14:schemeClr w14:val="tx1"/>
            </w14:solidFill>
          </w14:textFill>
        </w:rPr>
        <w:t xml:space="preserve"> 6.18</w:t>
      </w:r>
      <w:r>
        <w:rPr>
          <w:rFonts w:ascii="仿宋" w:hAnsi="仿宋" w:eastAsia="仿宋" w:cs="仿宋"/>
          <w:color w:val="000000" w:themeColor="text1"/>
          <w:kern w:val="0"/>
          <w:sz w:val="32"/>
          <w:szCs w:val="32"/>
          <w:u w:val="none" w:color="auto"/>
          <w14:textFill>
            <w14:solidFill>
              <w14:schemeClr w14:val="tx1"/>
            </w14:solidFill>
          </w14:textFill>
        </w:rPr>
        <w:t>万元，占政府采购支出总额的</w:t>
      </w:r>
      <w:r>
        <w:rPr>
          <w:rFonts w:hint="eastAsia" w:eastAsia="SimSun"/>
          <w:color w:val="000000" w:themeColor="text1"/>
          <w:kern w:val="0"/>
          <w:sz w:val="32"/>
          <w:szCs w:val="32"/>
          <w:u w:val="none" w:color="auto"/>
          <w:lang w:val="en-US" w:eastAsia="zh-CN"/>
          <w14:textFill>
            <w14:solidFill>
              <w14:schemeClr w14:val="tx1"/>
            </w14:solidFill>
          </w14:textFill>
        </w:rPr>
        <w:t>100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，其中：授予小微企业合同金额</w:t>
      </w:r>
      <w:r>
        <w:rPr>
          <w:rFonts w:eastAsia="Times New Roman"/>
          <w:color w:val="000000" w:themeColor="text1"/>
          <w:kern w:val="0"/>
          <w:sz w:val="32"/>
          <w:szCs w:val="32"/>
          <w:u w:val="none" w:color="auto"/>
          <w:lang w:eastAsia="en-US"/>
          <w14:textFill>
            <w14:solidFill>
              <w14:schemeClr w14:val="tx1"/>
            </w14:solidFill>
          </w14:textFill>
        </w:rPr>
        <w:t xml:space="preserve"> 6.18</w:t>
      </w:r>
      <w:r>
        <w:rPr>
          <w:rFonts w:ascii="仿宋" w:hAnsi="仿宋" w:eastAsia="仿宋" w:cs="仿宋"/>
          <w:color w:val="000000" w:themeColor="text1"/>
          <w:kern w:val="0"/>
          <w:sz w:val="32"/>
          <w:szCs w:val="32"/>
          <w:u w:val="none" w:color="auto"/>
          <w14:textFill>
            <w14:solidFill>
              <w14:schemeClr w14:val="tx1"/>
            </w14:solidFill>
          </w14:textFill>
        </w:rPr>
        <w:t>万元，占政府采购支出总额的</w:t>
      </w:r>
      <w:r>
        <w:rPr>
          <w:rFonts w:hint="eastAsia" w:eastAsia="SimSun"/>
          <w:color w:val="000000" w:themeColor="text1"/>
          <w:kern w:val="0"/>
          <w:sz w:val="32"/>
          <w:szCs w:val="32"/>
          <w:u w:val="none" w:color="auto"/>
          <w:lang w:val="en-US" w:eastAsia="zh-CN"/>
          <w14:textFill>
            <w14:solidFill>
              <w14:schemeClr w14:val="tx1"/>
            </w14:solidFill>
          </w14:textFill>
        </w:rPr>
        <w:t>100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；货物采购授予中小企业合同金额占货物支出金额的</w:t>
      </w:r>
      <w:r>
        <w:rPr>
          <w:rFonts w:hint="eastAsia" w:eastAsia="SimSun"/>
          <w:color w:val="000000" w:themeColor="text1"/>
          <w:kern w:val="0"/>
          <w:sz w:val="32"/>
          <w:szCs w:val="32"/>
          <w:u w:val="none" w:color="auto"/>
          <w:lang w:val="en-US" w:eastAsia="zh-CN"/>
          <w14:textFill>
            <w14:solidFill>
              <w14:schemeClr w14:val="tx1"/>
            </w14:solidFill>
          </w14:textFill>
        </w:rPr>
        <w:t>46</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，工程采购授予中小企业合同金额占工程支出金额的</w:t>
      </w:r>
      <w:r>
        <w:rPr>
          <w:rFonts w:hint="eastAsia" w:eastAsia="SimSun"/>
          <w:color w:val="000000" w:themeColor="text1"/>
          <w:kern w:val="0"/>
          <w:sz w:val="32"/>
          <w:szCs w:val="32"/>
          <w:u w:val="none" w:color="auto"/>
          <w:lang w:val="en-US" w:eastAsia="zh-CN"/>
          <w14:textFill>
            <w14:solidFill>
              <w14:schemeClr w14:val="tx1"/>
            </w14:solidFill>
          </w14:textFill>
        </w:rPr>
        <w:t>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，服务采购授予中小企业合同金额占服务支出金额的</w:t>
      </w:r>
      <w:r>
        <w:rPr>
          <w:rFonts w:hint="eastAsia" w:eastAsia="SimSun"/>
          <w:color w:val="000000" w:themeColor="text1"/>
          <w:kern w:val="0"/>
          <w:sz w:val="32"/>
          <w:szCs w:val="32"/>
          <w:u w:val="none" w:color="auto"/>
          <w:lang w:val="en-US" w:eastAsia="zh-CN"/>
          <w14:textFill>
            <w14:solidFill>
              <w14:schemeClr w14:val="tx1"/>
            </w14:solidFill>
          </w14:textFill>
        </w:rPr>
        <w:t>54</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753A1501">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十三、国有资产占用情况说明</w:t>
      </w:r>
    </w:p>
    <w:p w14:paraId="4EF59C5F">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内蒙古自治区巴彦淖尔市城市新区发展中心截至</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w:t>
      </w:r>
      <w:r>
        <w:rPr>
          <w:rFonts w:eastAsia="Times New Roman"/>
          <w:color w:val="000000" w:themeColor="text1"/>
          <w:kern w:val="0"/>
          <w:sz w:val="32"/>
          <w:szCs w:val="32"/>
          <w:u w:val="none" w:color="auto"/>
          <w:lang w:eastAsia="en-US"/>
          <w14:textFill>
            <w14:solidFill>
              <w14:schemeClr w14:val="tx1"/>
            </w14:solidFill>
          </w14:textFill>
        </w:rPr>
        <w:t>12</w:t>
      </w:r>
      <w:r>
        <w:rPr>
          <w:rFonts w:ascii="仿宋" w:hAnsi="仿宋" w:eastAsia="仿宋" w:cs="仿宋"/>
          <w:color w:val="000000" w:themeColor="text1"/>
          <w:kern w:val="0"/>
          <w:sz w:val="32"/>
          <w:szCs w:val="32"/>
          <w:u w:val="none" w:color="auto"/>
          <w14:textFill>
            <w14:solidFill>
              <w14:schemeClr w14:val="tx1"/>
            </w14:solidFill>
          </w14:textFill>
        </w:rPr>
        <w:t>月</w:t>
      </w:r>
      <w:r>
        <w:rPr>
          <w:rFonts w:eastAsia="Times New Roman"/>
          <w:color w:val="000000" w:themeColor="text1"/>
          <w:kern w:val="0"/>
          <w:sz w:val="32"/>
          <w:szCs w:val="32"/>
          <w:u w:val="none" w:color="auto"/>
          <w:lang w:eastAsia="en-US"/>
          <w14:textFill>
            <w14:solidFill>
              <w14:schemeClr w14:val="tx1"/>
            </w14:solidFill>
          </w14:textFill>
        </w:rPr>
        <w:t>31</w:t>
      </w:r>
      <w:r>
        <w:rPr>
          <w:rFonts w:ascii="仿宋" w:hAnsi="仿宋" w:eastAsia="仿宋" w:cs="仿宋"/>
          <w:color w:val="000000" w:themeColor="text1"/>
          <w:kern w:val="0"/>
          <w:sz w:val="32"/>
          <w:szCs w:val="32"/>
          <w:u w:val="none" w:color="auto"/>
          <w14:textFill>
            <w14:solidFill>
              <w14:schemeClr w14:val="tx1"/>
            </w14:solidFill>
          </w14:textFill>
        </w:rPr>
        <w:t>日，本单位共有车辆</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辆，其中：副部（省）级及以上领导用车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辆、主要负责人用车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辆、机要通信用车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辆、应急保障用车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辆、执法执勤用车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辆、特种专业技术用车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辆、离退休干部服务用车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辆、其他用车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辆，；单价</w:t>
      </w:r>
      <w:r>
        <w:rPr>
          <w:rFonts w:eastAsia="Times New Roman"/>
          <w:color w:val="000000" w:themeColor="text1"/>
          <w:kern w:val="0"/>
          <w:sz w:val="32"/>
          <w:szCs w:val="32"/>
          <w:u w:val="none" w:color="auto"/>
          <w:lang w:eastAsia="en-US"/>
          <w14:textFill>
            <w14:solidFill>
              <w14:schemeClr w14:val="tx1"/>
            </w14:solidFill>
          </w14:textFill>
        </w:rPr>
        <w:t>100</w:t>
      </w:r>
      <w:r>
        <w:rPr>
          <w:rFonts w:ascii="仿宋" w:hAnsi="仿宋" w:eastAsia="仿宋" w:cs="仿宋"/>
          <w:color w:val="000000" w:themeColor="text1"/>
          <w:kern w:val="0"/>
          <w:sz w:val="32"/>
          <w:szCs w:val="32"/>
          <w:u w:val="none" w:color="auto"/>
          <w14:textFill>
            <w14:solidFill>
              <w14:schemeClr w14:val="tx1"/>
            </w14:solidFill>
          </w14:textFill>
        </w:rPr>
        <w:t>万元（含）以上设备（不含车辆）</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台（套）。</w:t>
      </w:r>
    </w:p>
    <w:p w14:paraId="18D89CD0">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十四、预算绩效情况说明</w:t>
      </w:r>
    </w:p>
    <w:p w14:paraId="0447518E">
      <w:pPr>
        <w:pStyle w:val="29"/>
        <w:widowControl/>
        <w:spacing w:before="240" w:after="240"/>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楷体" w:hAnsi="楷体" w:eastAsia="楷体" w:cs="楷体"/>
          <w:b/>
          <w:bCs/>
          <w:color w:val="000000" w:themeColor="text1"/>
          <w:kern w:val="0"/>
          <w:sz w:val="32"/>
          <w:szCs w:val="32"/>
          <w:u w:val="none" w:color="auto"/>
          <w14:textFill>
            <w14:solidFill>
              <w14:schemeClr w14:val="tx1"/>
            </w14:solidFill>
          </w14:textFill>
        </w:rPr>
        <w:t>（一）预算绩效管理工作开展情况。</w:t>
      </w:r>
    </w:p>
    <w:p w14:paraId="0342A4C7">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内蒙古自治区巴彦淖尔市城市新区发展中心根据预算绩效管理要求组织对</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年一般公共预算项目支出全面开展绩效自评，共涉及项目</w:t>
      </w:r>
      <w:r>
        <w:rPr>
          <w:rFonts w:hint="eastAsia" w:eastAsia="SimSun"/>
          <w:color w:val="000000" w:themeColor="text1"/>
          <w:kern w:val="0"/>
          <w:sz w:val="32"/>
          <w:szCs w:val="32"/>
          <w:u w:val="none" w:color="auto"/>
          <w:lang w:val="en-US" w:eastAsia="zh-CN"/>
          <w14:textFill>
            <w14:solidFill>
              <w14:schemeClr w14:val="tx1"/>
            </w14:solidFill>
          </w14:textFill>
        </w:rPr>
        <w:t>1</w:t>
      </w:r>
      <w:r>
        <w:rPr>
          <w:rFonts w:ascii="仿宋" w:hAnsi="仿宋" w:eastAsia="仿宋" w:cs="仿宋"/>
          <w:color w:val="000000" w:themeColor="text1"/>
          <w:kern w:val="0"/>
          <w:sz w:val="32"/>
          <w:szCs w:val="32"/>
          <w:u w:val="none" w:color="auto"/>
          <w14:textFill>
            <w14:solidFill>
              <w14:schemeClr w14:val="tx1"/>
            </w14:solidFill>
          </w14:textFill>
        </w:rPr>
        <w:t>个，资金</w:t>
      </w:r>
      <w:r>
        <w:rPr>
          <w:rFonts w:eastAsia="Times New Roman"/>
          <w:color w:val="000000" w:themeColor="text1"/>
          <w:kern w:val="0"/>
          <w:sz w:val="32"/>
          <w:szCs w:val="32"/>
          <w:u w:val="none" w:color="auto"/>
          <w:lang w:eastAsia="en-US"/>
          <w14:textFill>
            <w14:solidFill>
              <w14:schemeClr w14:val="tx1"/>
            </w14:solidFill>
          </w14:textFill>
        </w:rPr>
        <w:t xml:space="preserve"> 6174.83</w:t>
      </w:r>
      <w:r>
        <w:rPr>
          <w:rFonts w:ascii="仿宋" w:hAnsi="仿宋" w:eastAsia="仿宋" w:cs="仿宋"/>
          <w:color w:val="000000" w:themeColor="text1"/>
          <w:kern w:val="0"/>
          <w:sz w:val="32"/>
          <w:szCs w:val="32"/>
          <w:u w:val="none" w:color="auto"/>
          <w14:textFill>
            <w14:solidFill>
              <w14:schemeClr w14:val="tx1"/>
            </w14:solidFill>
          </w14:textFill>
        </w:rPr>
        <w:t>万元，占一般公共预算项目支出总额的</w:t>
      </w:r>
      <w:r>
        <w:rPr>
          <w:rFonts w:eastAsia="Times New Roman"/>
          <w:color w:val="000000" w:themeColor="text1"/>
          <w:kern w:val="0"/>
          <w:sz w:val="32"/>
          <w:szCs w:val="32"/>
          <w:u w:val="none" w:color="auto"/>
          <w:lang w:eastAsia="en-US"/>
          <w14:textFill>
            <w14:solidFill>
              <w14:schemeClr w14:val="tx1"/>
            </w14:solidFill>
          </w14:textFill>
        </w:rPr>
        <w:t>100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；政府性基金预算项目</w:t>
      </w:r>
      <w:r>
        <w:rPr>
          <w:rFonts w:hint="eastAsia" w:eastAsia="SimSun"/>
          <w:color w:val="000000" w:themeColor="text1"/>
          <w:kern w:val="0"/>
          <w:sz w:val="32"/>
          <w:szCs w:val="32"/>
          <w:u w:val="none" w:color="auto"/>
          <w:lang w:val="en-US" w:eastAsia="zh-CN"/>
          <w14:textFill>
            <w14:solidFill>
              <w14:schemeClr w14:val="tx1"/>
            </w14:solidFill>
          </w14:textFill>
        </w:rPr>
        <w:t>1</w:t>
      </w:r>
      <w:r>
        <w:rPr>
          <w:rFonts w:ascii="仿宋" w:hAnsi="仿宋" w:eastAsia="仿宋" w:cs="仿宋"/>
          <w:color w:val="000000" w:themeColor="text1"/>
          <w:kern w:val="0"/>
          <w:sz w:val="32"/>
          <w:szCs w:val="32"/>
          <w:u w:val="none" w:color="auto"/>
          <w14:textFill>
            <w14:solidFill>
              <w14:schemeClr w14:val="tx1"/>
            </w14:solidFill>
          </w14:textFill>
        </w:rPr>
        <w:t>个，共涉及资金</w:t>
      </w:r>
      <w:r>
        <w:rPr>
          <w:rFonts w:eastAsia="Times New Roman"/>
          <w:color w:val="000000" w:themeColor="text1"/>
          <w:kern w:val="0"/>
          <w:sz w:val="32"/>
          <w:szCs w:val="32"/>
          <w:u w:val="none" w:color="auto"/>
          <w:lang w:eastAsia="en-US"/>
          <w14:textFill>
            <w14:solidFill>
              <w14:schemeClr w14:val="tx1"/>
            </w14:solidFill>
          </w14:textFill>
        </w:rPr>
        <w:t xml:space="preserve"> 400.00</w:t>
      </w:r>
      <w:r>
        <w:rPr>
          <w:rFonts w:ascii="仿宋" w:hAnsi="仿宋" w:eastAsia="仿宋" w:cs="仿宋"/>
          <w:color w:val="000000" w:themeColor="text1"/>
          <w:kern w:val="0"/>
          <w:sz w:val="32"/>
          <w:szCs w:val="32"/>
          <w:u w:val="none" w:color="auto"/>
          <w14:textFill>
            <w14:solidFill>
              <w14:schemeClr w14:val="tx1"/>
            </w14:solidFill>
          </w14:textFill>
        </w:rPr>
        <w:t>万元，占政府性基金预算项目支出总额的</w:t>
      </w:r>
      <w:r>
        <w:rPr>
          <w:rFonts w:eastAsia="Times New Roman"/>
          <w:color w:val="000000" w:themeColor="text1"/>
          <w:kern w:val="0"/>
          <w:sz w:val="32"/>
          <w:szCs w:val="32"/>
          <w:u w:val="none" w:color="auto"/>
          <w:lang w:eastAsia="en-US"/>
          <w14:textFill>
            <w14:solidFill>
              <w14:schemeClr w14:val="tx1"/>
            </w14:solidFill>
          </w14:textFill>
        </w:rPr>
        <w:t>100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798D0D00">
      <w:pPr>
        <w:keepNext w:val="0"/>
        <w:keepLines w:val="0"/>
        <w:widowControl/>
        <w:suppressLineNumbers w:val="0"/>
        <w:ind w:firstLine="640" w:firstLineChars="200"/>
        <w:jc w:val="left"/>
        <w:rPr>
          <w:rFonts w:hint="eastAsia" w:ascii="宋体" w:hAnsi="宋体" w:eastAsia="宋体" w:cs="宋体"/>
          <w:b/>
          <w:bCs/>
          <w:color w:val="000000" w:themeColor="text1"/>
          <w:sz w:val="32"/>
          <w:szCs w:val="32"/>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组织对“</w:t>
      </w:r>
      <w:r>
        <w:rPr>
          <w:rFonts w:hint="eastAsia" w:eastAsia="SimSun"/>
          <w:b/>
          <w:bCs/>
          <w:color w:val="000000" w:themeColor="text1"/>
          <w:kern w:val="0"/>
          <w:sz w:val="32"/>
          <w:szCs w:val="32"/>
          <w:u w:val="none" w:color="auto"/>
          <w:lang w:eastAsia="zh-CN"/>
          <w14:textFill>
            <w14:solidFill>
              <w14:schemeClr w14:val="tx1"/>
            </w14:solidFill>
          </w14:textFill>
        </w:rPr>
        <w:t>双河区规划支路市政道路及管网配套工程项目</w:t>
      </w:r>
      <w:r>
        <w:rPr>
          <w:rFonts w:ascii="仿宋" w:hAnsi="仿宋" w:eastAsia="仿宋" w:cs="仿宋"/>
          <w:b/>
          <w:bCs/>
          <w:color w:val="000000" w:themeColor="text1"/>
          <w:kern w:val="0"/>
          <w:sz w:val="32"/>
          <w:szCs w:val="32"/>
          <w:u w:val="none" w:color="auto"/>
          <w14:textFill>
            <w14:solidFill>
              <w14:schemeClr w14:val="tx1"/>
            </w14:solidFill>
          </w14:textFill>
        </w:rPr>
        <w:t>”、“</w:t>
      </w:r>
      <w:r>
        <w:rPr>
          <w:rFonts w:hint="eastAsia" w:eastAsia="SimSun"/>
          <w:b/>
          <w:bCs/>
          <w:color w:val="000000" w:themeColor="text1"/>
          <w:kern w:val="0"/>
          <w:sz w:val="32"/>
          <w:szCs w:val="32"/>
          <w:u w:val="none" w:color="auto"/>
          <w:lang w:eastAsia="zh-CN"/>
          <w14:textFill>
            <w14:solidFill>
              <w14:schemeClr w14:val="tx1"/>
            </w14:solidFill>
          </w14:textFill>
        </w:rPr>
        <w:t>金川大桥及连接线道路工程项目</w:t>
      </w:r>
      <w:r>
        <w:rPr>
          <w:rFonts w:ascii="仿宋" w:hAnsi="仿宋" w:eastAsia="仿宋" w:cs="仿宋"/>
          <w:b/>
          <w:bCs/>
          <w:color w:val="000000" w:themeColor="text1"/>
          <w:kern w:val="0"/>
          <w:sz w:val="32"/>
          <w:szCs w:val="32"/>
          <w:u w:val="none" w:color="auto"/>
          <w14:textFill>
            <w14:solidFill>
              <w14:schemeClr w14:val="tx1"/>
            </w14:solidFill>
          </w14:textFill>
        </w:rPr>
        <w:t>”</w:t>
      </w:r>
      <w:r>
        <w:rPr>
          <w:rFonts w:hint="eastAsia" w:eastAsia="SimSun"/>
          <w:color w:val="000000" w:themeColor="text1"/>
          <w:kern w:val="0"/>
          <w:sz w:val="32"/>
          <w:szCs w:val="32"/>
          <w:u w:val="none" w:color="auto"/>
          <w:lang w:val="en-US" w:eastAsia="zh-CN"/>
          <w14:textFill>
            <w14:solidFill>
              <w14:schemeClr w14:val="tx1"/>
            </w14:solidFill>
          </w14:textFill>
        </w:rPr>
        <w:t>2</w:t>
      </w:r>
      <w:r>
        <w:rPr>
          <w:rFonts w:ascii="仿宋" w:hAnsi="仿宋" w:eastAsia="仿宋" w:cs="仿宋"/>
          <w:color w:val="000000" w:themeColor="text1"/>
          <w:kern w:val="0"/>
          <w:sz w:val="32"/>
          <w:szCs w:val="32"/>
          <w:u w:val="none" w:color="auto"/>
          <w14:textFill>
            <w14:solidFill>
              <w14:schemeClr w14:val="tx1"/>
            </w14:solidFill>
          </w14:textFill>
        </w:rPr>
        <w:t>个项目开展了部门评价，涉及一般公共预算支出</w:t>
      </w:r>
      <w:r>
        <w:rPr>
          <w:rFonts w:hint="eastAsia" w:eastAsia="SimSun"/>
          <w:color w:val="000000" w:themeColor="text1"/>
          <w:kern w:val="0"/>
          <w:sz w:val="32"/>
          <w:szCs w:val="32"/>
          <w:u w:val="none" w:color="auto"/>
          <w:lang w:val="en-US" w:eastAsia="zh-CN"/>
          <w14:textFill>
            <w14:solidFill>
              <w14:schemeClr w14:val="tx1"/>
            </w14:solidFill>
          </w14:textFill>
        </w:rPr>
        <w:t>6174.83</w:t>
      </w:r>
      <w:r>
        <w:rPr>
          <w:rFonts w:ascii="仿宋" w:hAnsi="仿宋" w:eastAsia="仿宋" w:cs="仿宋"/>
          <w:color w:val="000000" w:themeColor="text1"/>
          <w:kern w:val="0"/>
          <w:sz w:val="32"/>
          <w:szCs w:val="32"/>
          <w:u w:val="none" w:color="auto"/>
          <w14:textFill>
            <w14:solidFill>
              <w14:schemeClr w14:val="tx1"/>
            </w14:solidFill>
          </w14:textFill>
        </w:rPr>
        <w:t>万元，政府性基金支出</w:t>
      </w:r>
      <w:r>
        <w:rPr>
          <w:rFonts w:hint="eastAsia" w:eastAsia="SimSun"/>
          <w:color w:val="000000" w:themeColor="text1"/>
          <w:kern w:val="0"/>
          <w:sz w:val="32"/>
          <w:szCs w:val="32"/>
          <w:u w:val="none" w:color="auto"/>
          <w:lang w:val="en-US" w:eastAsia="zh-CN"/>
          <w14:textFill>
            <w14:solidFill>
              <w14:schemeClr w14:val="tx1"/>
            </w14:solidFill>
          </w14:textFill>
        </w:rPr>
        <w:t>400.00</w:t>
      </w:r>
      <w:r>
        <w:rPr>
          <w:rFonts w:ascii="仿宋" w:hAnsi="仿宋" w:eastAsia="仿宋" w:cs="仿宋"/>
          <w:color w:val="000000" w:themeColor="text1"/>
          <w:kern w:val="0"/>
          <w:sz w:val="32"/>
          <w:szCs w:val="32"/>
          <w:u w:val="none" w:color="auto"/>
          <w14:textFill>
            <w14:solidFill>
              <w14:schemeClr w14:val="tx1"/>
            </w14:solidFill>
          </w14:textFill>
        </w:rPr>
        <w:t>万元</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其中，对</w:t>
      </w:r>
      <w:r>
        <w:rPr>
          <w:rFonts w:ascii="仿宋" w:hAnsi="仿宋" w:eastAsia="仿宋" w:cs="仿宋"/>
          <w:b/>
          <w:bCs/>
          <w:color w:val="000000" w:themeColor="text1"/>
          <w:kern w:val="0"/>
          <w:sz w:val="32"/>
          <w:szCs w:val="32"/>
          <w:u w:val="none" w:color="auto"/>
          <w14:textFill>
            <w14:solidFill>
              <w14:schemeClr w14:val="tx1"/>
            </w14:solidFill>
          </w14:textFill>
        </w:rPr>
        <w:t>“</w:t>
      </w:r>
      <w:r>
        <w:rPr>
          <w:rFonts w:hint="eastAsia" w:eastAsia="SimSun"/>
          <w:b/>
          <w:bCs/>
          <w:color w:val="000000" w:themeColor="text1"/>
          <w:kern w:val="0"/>
          <w:sz w:val="32"/>
          <w:szCs w:val="32"/>
          <w:u w:val="none" w:color="auto"/>
          <w:lang w:eastAsia="zh-CN"/>
          <w14:textFill>
            <w14:solidFill>
              <w14:schemeClr w14:val="tx1"/>
            </w14:solidFill>
          </w14:textFill>
        </w:rPr>
        <w:t>双河区规划支路市政道路及管网配套工程项目</w:t>
      </w:r>
      <w:r>
        <w:rPr>
          <w:rFonts w:ascii="仿宋" w:hAnsi="仿宋" w:eastAsia="仿宋" w:cs="仿宋"/>
          <w:b/>
          <w:bCs/>
          <w:color w:val="000000" w:themeColor="text1"/>
          <w:kern w:val="0"/>
          <w:sz w:val="32"/>
          <w:szCs w:val="32"/>
          <w:u w:val="none" w:color="auto"/>
          <w14:textFill>
            <w14:solidFill>
              <w14:schemeClr w14:val="tx1"/>
            </w14:solidFill>
          </w14:textFill>
        </w:rPr>
        <w:t>”、“</w:t>
      </w:r>
      <w:r>
        <w:rPr>
          <w:rFonts w:hint="eastAsia" w:eastAsia="SimSun"/>
          <w:b/>
          <w:bCs/>
          <w:color w:val="000000" w:themeColor="text1"/>
          <w:kern w:val="0"/>
          <w:sz w:val="32"/>
          <w:szCs w:val="32"/>
          <w:u w:val="none" w:color="auto"/>
          <w:lang w:eastAsia="zh-CN"/>
          <w14:textFill>
            <w14:solidFill>
              <w14:schemeClr w14:val="tx1"/>
            </w14:solidFill>
          </w14:textFill>
        </w:rPr>
        <w:t>金川大桥及连接线道路工程项目</w:t>
      </w:r>
      <w:r>
        <w:rPr>
          <w:rFonts w:ascii="仿宋" w:hAnsi="仿宋" w:eastAsia="仿宋" w:cs="仿宋"/>
          <w:b/>
          <w:bCs/>
          <w:color w:val="000000" w:themeColor="text1"/>
          <w:kern w:val="0"/>
          <w:sz w:val="32"/>
          <w:szCs w:val="32"/>
          <w:u w:val="none" w:color="auto"/>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分别委托相关第三方机构开展绩效评价。从评价情况看，以上项目</w:t>
      </w:r>
      <w:r>
        <w:rPr>
          <w:rFonts w:hint="eastAsia" w:ascii="宋体" w:hAnsi="宋体" w:eastAsia="宋体" w:cs="宋体"/>
          <w:b/>
          <w:bCs/>
          <w:color w:val="000000" w:themeColor="text1"/>
          <w:kern w:val="0"/>
          <w:sz w:val="32"/>
          <w:szCs w:val="32"/>
          <w:u w:val="none" w:color="auto"/>
          <w:lang w:val="en-US" w:eastAsia="zh-CN" w:bidi="ar"/>
          <w14:textFill>
            <w14:solidFill>
              <w14:schemeClr w14:val="tx1"/>
            </w14:solidFill>
          </w14:textFill>
        </w:rPr>
        <w:t>严格按照既定计划、规范流程有序推进实施，按期完成各项既定工作任务，整体运行规范、管控到位。项目资金使用合规高效，无挤占、挪用、浪费等问题；项目产出、效益、满意度等核心绩效指标基本达成预期目标，有效解决项目实施初期拟定的核心问题，顺利实现项目建设初衷，整体绩效表现良好，项目实施综合评价等级为</w:t>
      </w:r>
      <w:r>
        <w:rPr>
          <w:rStyle w:val="20"/>
          <w:rFonts w:hint="eastAsia" w:ascii="宋体" w:hAnsi="宋体" w:eastAsia="宋体" w:cs="宋体"/>
          <w:b/>
          <w:bCs/>
          <w:color w:val="000000" w:themeColor="text1"/>
          <w:kern w:val="0"/>
          <w:sz w:val="32"/>
          <w:szCs w:val="32"/>
          <w:u w:val="none" w:color="auto"/>
          <w:lang w:val="en-US" w:eastAsia="zh-CN" w:bidi="ar"/>
          <w14:textFill>
            <w14:solidFill>
              <w14:schemeClr w14:val="tx1"/>
            </w14:solidFill>
          </w14:textFill>
        </w:rPr>
        <w:t>优秀</w:t>
      </w:r>
      <w:r>
        <w:rPr>
          <w:rFonts w:hint="eastAsia" w:ascii="宋体" w:hAnsi="宋体" w:eastAsia="宋体" w:cs="宋体"/>
          <w:b/>
          <w:bCs/>
          <w:color w:val="000000" w:themeColor="text1"/>
          <w:kern w:val="0"/>
          <w:sz w:val="32"/>
          <w:szCs w:val="32"/>
          <w:u w:val="none" w:color="auto"/>
          <w:lang w:val="en-US" w:eastAsia="zh-CN" w:bidi="ar"/>
          <w14:textFill>
            <w14:solidFill>
              <w14:schemeClr w14:val="tx1"/>
            </w14:solidFill>
          </w14:textFill>
        </w:rPr>
        <w:t>。</w:t>
      </w:r>
    </w:p>
    <w:p w14:paraId="1B490B26">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p>
    <w:p w14:paraId="075CA93A">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p>
    <w:p w14:paraId="27245D15">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p>
    <w:p w14:paraId="5585BB5D">
      <w:pPr>
        <w:pStyle w:val="29"/>
        <w:widowControl/>
        <w:spacing w:before="240" w:after="240"/>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楷体" w:hAnsi="楷体" w:eastAsia="楷体" w:cs="楷体"/>
          <w:b/>
          <w:bCs/>
          <w:color w:val="000000" w:themeColor="text1"/>
          <w:kern w:val="0"/>
          <w:sz w:val="32"/>
          <w:szCs w:val="32"/>
          <w:u w:val="none" w:color="auto"/>
          <w14:textFill>
            <w14:solidFill>
              <w14:schemeClr w14:val="tx1"/>
            </w14:solidFill>
          </w14:textFill>
        </w:rPr>
        <w:t>（二）单位决算中项目绩效自评结果。</w:t>
      </w:r>
    </w:p>
    <w:p w14:paraId="428DBF1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年度在决算中反映</w:t>
      </w:r>
      <w:r>
        <w:rPr>
          <w:rFonts w:hint="eastAsia" w:eastAsia="SimSun"/>
          <w:color w:val="000000" w:themeColor="text1"/>
          <w:kern w:val="0"/>
          <w:sz w:val="32"/>
          <w:szCs w:val="32"/>
          <w:u w:val="none" w:color="auto"/>
          <w:lang w:val="en-US" w:eastAsia="zh-CN"/>
          <w14:textFill>
            <w14:solidFill>
              <w14:schemeClr w14:val="tx1"/>
            </w14:solidFill>
          </w14:textFill>
        </w:rPr>
        <w:t>1</w:t>
      </w:r>
      <w:r>
        <w:rPr>
          <w:rFonts w:ascii="仿宋" w:hAnsi="仿宋" w:eastAsia="仿宋" w:cs="仿宋"/>
          <w:color w:val="000000" w:themeColor="text1"/>
          <w:kern w:val="0"/>
          <w:sz w:val="32"/>
          <w:szCs w:val="32"/>
          <w:u w:val="none" w:color="auto"/>
          <w14:textFill>
            <w14:solidFill>
              <w14:schemeClr w14:val="tx1"/>
            </w14:solidFill>
          </w14:textFill>
        </w:rPr>
        <w:t>个一般公共预算项目，以及</w:t>
      </w:r>
      <w:r>
        <w:rPr>
          <w:rFonts w:hint="eastAsia" w:eastAsia="SimSun"/>
          <w:color w:val="000000" w:themeColor="text1"/>
          <w:kern w:val="0"/>
          <w:sz w:val="32"/>
          <w:szCs w:val="32"/>
          <w:u w:val="none" w:color="auto"/>
          <w:lang w:val="en-US" w:eastAsia="zh-CN"/>
          <w14:textFill>
            <w14:solidFill>
              <w14:schemeClr w14:val="tx1"/>
            </w14:solidFill>
          </w14:textFill>
        </w:rPr>
        <w:t>1</w:t>
      </w:r>
      <w:r>
        <w:rPr>
          <w:rFonts w:ascii="仿宋" w:hAnsi="仿宋" w:eastAsia="仿宋" w:cs="仿宋"/>
          <w:color w:val="000000" w:themeColor="text1"/>
          <w:kern w:val="0"/>
          <w:sz w:val="32"/>
          <w:szCs w:val="32"/>
          <w:u w:val="none" w:color="auto"/>
          <w14:textFill>
            <w14:solidFill>
              <w14:schemeClr w14:val="tx1"/>
            </w14:solidFill>
          </w14:textFill>
        </w:rPr>
        <w:t>个政府性基金项目，共</w:t>
      </w:r>
      <w:r>
        <w:rPr>
          <w:rFonts w:hint="eastAsia" w:eastAsia="SimSun"/>
          <w:color w:val="000000" w:themeColor="text1"/>
          <w:kern w:val="0"/>
          <w:sz w:val="32"/>
          <w:szCs w:val="32"/>
          <w:u w:val="none" w:color="auto"/>
          <w:lang w:val="en-US" w:eastAsia="zh-CN"/>
          <w14:textFill>
            <w14:solidFill>
              <w14:schemeClr w14:val="tx1"/>
            </w14:solidFill>
          </w14:textFill>
        </w:rPr>
        <w:t>2</w:t>
      </w:r>
      <w:r>
        <w:rPr>
          <w:rFonts w:ascii="仿宋" w:hAnsi="仿宋" w:eastAsia="仿宋" w:cs="仿宋"/>
          <w:color w:val="000000" w:themeColor="text1"/>
          <w:kern w:val="0"/>
          <w:sz w:val="32"/>
          <w:szCs w:val="32"/>
          <w:u w:val="none" w:color="auto"/>
          <w14:textFill>
            <w14:solidFill>
              <w14:schemeClr w14:val="tx1"/>
            </w14:solidFill>
          </w14:textFill>
        </w:rPr>
        <w:t>个项目的绩效自评结果。</w:t>
      </w:r>
    </w:p>
    <w:p w14:paraId="3B213204">
      <w:pPr>
        <w:keepNext w:val="0"/>
        <w:keepLines w:val="0"/>
        <w:pageBreakBefore w:val="0"/>
        <w:widowControl w:val="0"/>
        <w:numPr>
          <w:ilvl w:val="0"/>
          <w:numId w:val="0"/>
        </w:numPr>
        <w:kinsoku/>
        <w:wordWrap/>
        <w:overflowPunct/>
        <w:topLinePunct/>
        <w:autoSpaceDE/>
        <w:autoSpaceDN/>
        <w:bidi w:val="0"/>
        <w:adjustRightInd/>
        <w:snapToGrid/>
        <w:spacing w:line="520" w:lineRule="exact"/>
        <w:ind w:leftChars="200" w:right="0" w:rightChars="0"/>
        <w:jc w:val="both"/>
        <w:textAlignment w:val="auto"/>
        <w:outlineLvl w:val="9"/>
        <w:rPr>
          <w:rFonts w:ascii="仿宋" w:hAnsi="仿宋" w:eastAsia="仿宋" w:cs="仿宋"/>
          <w:color w:val="000000" w:themeColor="text1"/>
          <w:kern w:val="0"/>
          <w:sz w:val="32"/>
          <w:szCs w:val="32"/>
          <w:u w:val="none" w:color="auto"/>
          <w14:textFill>
            <w14:solidFill>
              <w14:schemeClr w14:val="tx1"/>
            </w14:solidFill>
          </w14:textFill>
        </w:rPr>
      </w:pPr>
      <w:r>
        <w:rPr>
          <w:rFonts w:hint="eastAsia" w:eastAsia="SimSun"/>
          <w:color w:val="000000" w:themeColor="text1"/>
          <w:kern w:val="0"/>
          <w:sz w:val="32"/>
          <w:szCs w:val="32"/>
          <w:u w:val="none" w:color="auto"/>
          <w:lang w:val="en-US" w:eastAsia="zh-CN"/>
          <w14:textFill>
            <w14:solidFill>
              <w14:schemeClr w14:val="tx1"/>
            </w14:solidFill>
          </w14:textFill>
        </w:rPr>
        <w:t>&lt;1&gt;.</w:t>
      </w:r>
      <w:r>
        <w:rPr>
          <w:rFonts w:hint="eastAsia" w:eastAsia="SimSun"/>
          <w:b/>
          <w:bCs/>
          <w:color w:val="000000" w:themeColor="text1"/>
          <w:kern w:val="0"/>
          <w:sz w:val="32"/>
          <w:szCs w:val="32"/>
          <w:u w:val="none" w:color="auto"/>
          <w:lang w:eastAsia="zh-CN"/>
          <w14:textFill>
            <w14:solidFill>
              <w14:schemeClr w14:val="tx1"/>
            </w14:solidFill>
          </w14:textFill>
        </w:rPr>
        <w:t>双河区规划支路市政道路及管网配套工程</w:t>
      </w:r>
      <w:r>
        <w:rPr>
          <w:rFonts w:ascii="仿宋" w:hAnsi="仿宋" w:eastAsia="仿宋" w:cs="仿宋"/>
          <w:color w:val="000000" w:themeColor="text1"/>
          <w:kern w:val="0"/>
          <w:sz w:val="32"/>
          <w:szCs w:val="32"/>
          <w:u w:val="none" w:color="auto"/>
          <w14:textFill>
            <w14:solidFill>
              <w14:schemeClr w14:val="tx1"/>
            </w14:solidFill>
          </w14:textFill>
        </w:rPr>
        <w:t>项目自评综述：根据年初设定的绩效目标，项目自评得分</w:t>
      </w:r>
      <w:r>
        <w:rPr>
          <w:rFonts w:hint="eastAsia" w:eastAsia="SimSun"/>
          <w:color w:val="000000" w:themeColor="text1"/>
          <w:kern w:val="0"/>
          <w:sz w:val="32"/>
          <w:szCs w:val="32"/>
          <w:u w:val="none" w:color="auto"/>
          <w:lang w:val="en-US" w:eastAsia="zh-CN"/>
          <w14:textFill>
            <w14:solidFill>
              <w14:schemeClr w14:val="tx1"/>
            </w14:solidFill>
          </w14:textFill>
        </w:rPr>
        <w:t>100</w:t>
      </w:r>
      <w:r>
        <w:rPr>
          <w:rFonts w:ascii="仿宋" w:hAnsi="仿宋" w:eastAsia="仿宋" w:cs="仿宋"/>
          <w:color w:val="000000" w:themeColor="text1"/>
          <w:kern w:val="0"/>
          <w:sz w:val="32"/>
          <w:szCs w:val="32"/>
          <w:u w:val="none" w:color="auto"/>
          <w14:textFill>
            <w14:solidFill>
              <w14:schemeClr w14:val="tx1"/>
            </w14:solidFill>
          </w14:textFill>
        </w:rPr>
        <w:t>分。全年预算数为</w:t>
      </w:r>
      <w:r>
        <w:rPr>
          <w:rFonts w:hint="eastAsia" w:eastAsia="SimSun"/>
          <w:color w:val="000000" w:themeColor="text1"/>
          <w:kern w:val="0"/>
          <w:sz w:val="32"/>
          <w:szCs w:val="32"/>
          <w:u w:val="none" w:color="auto"/>
          <w:lang w:val="en-US" w:eastAsia="zh-CN"/>
          <w14:textFill>
            <w14:solidFill>
              <w14:schemeClr w14:val="tx1"/>
            </w14:solidFill>
          </w14:textFill>
        </w:rPr>
        <w:t>3200</w:t>
      </w:r>
      <w:r>
        <w:rPr>
          <w:rFonts w:ascii="仿宋" w:hAnsi="仿宋" w:eastAsia="仿宋" w:cs="仿宋"/>
          <w:color w:val="000000" w:themeColor="text1"/>
          <w:kern w:val="0"/>
          <w:sz w:val="32"/>
          <w:szCs w:val="32"/>
          <w:u w:val="none" w:color="auto"/>
          <w14:textFill>
            <w14:solidFill>
              <w14:schemeClr w14:val="tx1"/>
            </w14:solidFill>
          </w14:textFill>
        </w:rPr>
        <w:t>万元，执行数为</w:t>
      </w:r>
      <w:r>
        <w:rPr>
          <w:rFonts w:hint="eastAsia" w:eastAsia="SimSun"/>
          <w:color w:val="000000" w:themeColor="text1"/>
          <w:kern w:val="0"/>
          <w:sz w:val="32"/>
          <w:szCs w:val="32"/>
          <w:u w:val="none" w:color="auto"/>
          <w:lang w:val="en-US" w:eastAsia="zh-CN"/>
          <w14:textFill>
            <w14:solidFill>
              <w14:schemeClr w14:val="tx1"/>
            </w14:solidFill>
          </w14:textFill>
        </w:rPr>
        <w:t>3200</w:t>
      </w:r>
      <w:r>
        <w:rPr>
          <w:rFonts w:ascii="仿宋" w:hAnsi="仿宋" w:eastAsia="仿宋" w:cs="仿宋"/>
          <w:color w:val="000000" w:themeColor="text1"/>
          <w:kern w:val="0"/>
          <w:sz w:val="32"/>
          <w:szCs w:val="32"/>
          <w:u w:val="none" w:color="auto"/>
          <w14:textFill>
            <w14:solidFill>
              <w14:schemeClr w14:val="tx1"/>
            </w14:solidFill>
          </w14:textFill>
        </w:rPr>
        <w:t>万元，完成预算的</w:t>
      </w:r>
      <w:r>
        <w:rPr>
          <w:rFonts w:hint="eastAsia" w:eastAsia="SimSun"/>
          <w:color w:val="000000" w:themeColor="text1"/>
          <w:kern w:val="0"/>
          <w:sz w:val="32"/>
          <w:szCs w:val="32"/>
          <w:u w:val="none" w:color="auto"/>
          <w:lang w:val="en-US" w:eastAsia="zh-CN"/>
          <w14:textFill>
            <w14:solidFill>
              <w14:schemeClr w14:val="tx1"/>
            </w14:solidFill>
          </w14:textFill>
        </w:rPr>
        <w:t>100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。项目绩效目标完成情况：</w:t>
      </w:r>
    </w:p>
    <w:p w14:paraId="33BBD868">
      <w:pPr>
        <w:keepNext w:val="0"/>
        <w:keepLines w:val="0"/>
        <w:pageBreakBefore w:val="0"/>
        <w:widowControl w:val="0"/>
        <w:numPr>
          <w:ilvl w:val="0"/>
          <w:numId w:val="0"/>
        </w:numPr>
        <w:kinsoku/>
        <w:wordWrap/>
        <w:overflowPunct/>
        <w:topLinePunct/>
        <w:autoSpaceDE/>
        <w:autoSpaceDN/>
        <w:bidi w:val="0"/>
        <w:adjustRightInd/>
        <w:snapToGrid/>
        <w:spacing w:line="520" w:lineRule="exact"/>
        <w:ind w:leftChars="200" w:right="0" w:rightChars="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1.产出指标完成情况</w:t>
      </w:r>
    </w:p>
    <w:p w14:paraId="7F8BB33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（1）数量指标</w:t>
      </w:r>
    </w:p>
    <w:p w14:paraId="79EFF45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1）道路全长(米)，</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1652</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1652</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49E19E8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2）道路红线宽(米)，</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30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30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40F0305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（2）质量指标</w:t>
      </w:r>
    </w:p>
    <w:p w14:paraId="7FDAB7E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1）道路验收合格率(%)，</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7CD5E9F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2）绿化亮化管网验收合格率(%)，</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35F07F1D">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（3）时效指标</w:t>
      </w:r>
    </w:p>
    <w:p w14:paraId="6C5E0DD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1）完成道路建设的及时性，</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按时完成</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按时完成</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2451110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2）绿化亮化管网完成的及时性，</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按时完成</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按时完成</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613EDA8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（4）成本指标</w:t>
      </w:r>
    </w:p>
    <w:p w14:paraId="1113680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1）道路及管网工程每公里成本控制(万元)，</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1700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1700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279A860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2）绿化工程每平方米成本控制(元)，</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600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600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56D57F6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2.效益指标完成情况</w:t>
      </w:r>
    </w:p>
    <w:p w14:paraId="3D05832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（5）社会效益</w:t>
      </w:r>
    </w:p>
    <w:p w14:paraId="649677A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1）改善双河区居民生活条件，</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有效改善</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有效改善</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21C616D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（6）可持续影响</w:t>
      </w:r>
    </w:p>
    <w:p w14:paraId="67A7C2B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1）改善良好的双河区开发环境，</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有效改善</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有效改善</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43EF554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3.满意度指标完成情况</w:t>
      </w:r>
    </w:p>
    <w:p w14:paraId="20C923B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（7）服务对象满意度</w:t>
      </w:r>
    </w:p>
    <w:p w14:paraId="2ECCB67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1）改善居民出行条件，</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有效改善</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有效改善</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4C8F2B6C">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发现的主要问题及原因：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无</w:t>
      </w:r>
      <w:r>
        <w:rPr>
          <w:rFonts w:ascii="仿宋" w:hAnsi="仿宋" w:eastAsia="仿宋" w:cs="仿宋"/>
          <w:color w:val="000000" w:themeColor="text1"/>
          <w:kern w:val="0"/>
          <w:sz w:val="32"/>
          <w:szCs w:val="32"/>
          <w:u w:val="none" w:color="auto"/>
          <w14:textFill>
            <w14:solidFill>
              <w14:schemeClr w14:val="tx1"/>
            </w14:solidFill>
          </w14:textFill>
        </w:rPr>
        <w:t>。下一步改进措施：</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无</w:t>
      </w:r>
      <w:r>
        <w:rPr>
          <w:rFonts w:ascii="仿宋" w:hAnsi="仿宋" w:eastAsia="仿宋" w:cs="仿宋"/>
          <w:color w:val="000000" w:themeColor="text1"/>
          <w:kern w:val="0"/>
          <w:sz w:val="32"/>
          <w:szCs w:val="32"/>
          <w:u w:val="none" w:color="auto"/>
          <w14:textFill>
            <w14:solidFill>
              <w14:schemeClr w14:val="tx1"/>
            </w14:solidFill>
          </w14:textFill>
        </w:rPr>
        <w:t>。</w:t>
      </w:r>
    </w:p>
    <w:p w14:paraId="6D9FFAD3">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hint="eastAsia" w:eastAsia="SimSun"/>
          <w:color w:val="000000" w:themeColor="text1"/>
          <w:kern w:val="0"/>
          <w:sz w:val="32"/>
          <w:szCs w:val="32"/>
          <w:u w:val="none" w:color="auto"/>
          <w:lang w:val="en-US" w:eastAsia="zh-CN"/>
          <w14:textFill>
            <w14:solidFill>
              <w14:schemeClr w14:val="tx1"/>
            </w14:solidFill>
          </w14:textFill>
        </w:rPr>
        <w:t>&lt;2&gt;.</w:t>
      </w:r>
      <w:r>
        <w:rPr>
          <w:rFonts w:hint="eastAsia" w:eastAsia="SimSun"/>
          <w:b/>
          <w:bCs/>
          <w:color w:val="000000" w:themeColor="text1"/>
          <w:kern w:val="0"/>
          <w:sz w:val="32"/>
          <w:szCs w:val="32"/>
          <w:u w:val="none" w:color="auto"/>
          <w:lang w:eastAsia="zh-CN"/>
          <w14:textFill>
            <w14:solidFill>
              <w14:schemeClr w14:val="tx1"/>
            </w14:solidFill>
          </w14:textFill>
        </w:rPr>
        <w:t>金川大桥及连接线道路工程项目</w:t>
      </w:r>
      <w:r>
        <w:rPr>
          <w:rFonts w:ascii="仿宋" w:hAnsi="仿宋" w:eastAsia="仿宋" w:cs="仿宋"/>
          <w:color w:val="000000" w:themeColor="text1"/>
          <w:kern w:val="0"/>
          <w:sz w:val="32"/>
          <w:szCs w:val="32"/>
          <w:u w:val="none" w:color="auto"/>
          <w14:textFill>
            <w14:solidFill>
              <w14:schemeClr w14:val="tx1"/>
            </w14:solidFill>
          </w14:textFill>
        </w:rPr>
        <w:t>项目自评综述：</w:t>
      </w:r>
    </w:p>
    <w:p w14:paraId="122A6F4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ascii="仿宋" w:hAnsi="仿宋" w:eastAsia="仿宋" w:cs="仿宋"/>
          <w:color w:val="000000" w:themeColor="text1"/>
          <w:kern w:val="0"/>
          <w:sz w:val="32"/>
          <w:szCs w:val="32"/>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根据年初设定的绩效目标，项目自评得分</w:t>
      </w:r>
      <w:r>
        <w:rPr>
          <w:rFonts w:hint="eastAsia" w:eastAsia="SimSun"/>
          <w:color w:val="000000" w:themeColor="text1"/>
          <w:kern w:val="0"/>
          <w:sz w:val="32"/>
          <w:szCs w:val="32"/>
          <w:u w:val="none" w:color="auto"/>
          <w:lang w:val="en-US" w:eastAsia="zh-CN"/>
          <w14:textFill>
            <w14:solidFill>
              <w14:schemeClr w14:val="tx1"/>
            </w14:solidFill>
          </w14:textFill>
        </w:rPr>
        <w:t>100</w:t>
      </w:r>
      <w:r>
        <w:rPr>
          <w:rFonts w:ascii="仿宋" w:hAnsi="仿宋" w:eastAsia="仿宋" w:cs="仿宋"/>
          <w:color w:val="000000" w:themeColor="text1"/>
          <w:kern w:val="0"/>
          <w:sz w:val="32"/>
          <w:szCs w:val="32"/>
          <w:u w:val="none" w:color="auto"/>
          <w14:textFill>
            <w14:solidFill>
              <w14:schemeClr w14:val="tx1"/>
            </w14:solidFill>
          </w14:textFill>
        </w:rPr>
        <w:t>分。全年预算数为</w:t>
      </w:r>
      <w:r>
        <w:rPr>
          <w:rFonts w:hint="eastAsia" w:eastAsia="SimSun"/>
          <w:color w:val="000000" w:themeColor="text1"/>
          <w:kern w:val="0"/>
          <w:sz w:val="32"/>
          <w:szCs w:val="32"/>
          <w:u w:val="none" w:color="auto"/>
          <w:lang w:val="en-US" w:eastAsia="zh-CN"/>
          <w14:textFill>
            <w14:solidFill>
              <w14:schemeClr w14:val="tx1"/>
            </w14:solidFill>
          </w14:textFill>
        </w:rPr>
        <w:t>400</w:t>
      </w:r>
      <w:r>
        <w:rPr>
          <w:rFonts w:ascii="仿宋" w:hAnsi="仿宋" w:eastAsia="仿宋" w:cs="仿宋"/>
          <w:color w:val="000000" w:themeColor="text1"/>
          <w:kern w:val="0"/>
          <w:sz w:val="32"/>
          <w:szCs w:val="32"/>
          <w:u w:val="none" w:color="auto"/>
          <w14:textFill>
            <w14:solidFill>
              <w14:schemeClr w14:val="tx1"/>
            </w14:solidFill>
          </w14:textFill>
        </w:rPr>
        <w:t>万元，执行数为</w:t>
      </w:r>
      <w:r>
        <w:rPr>
          <w:rFonts w:hint="eastAsia" w:eastAsia="SimSun"/>
          <w:color w:val="000000" w:themeColor="text1"/>
          <w:kern w:val="0"/>
          <w:sz w:val="32"/>
          <w:szCs w:val="32"/>
          <w:u w:val="none" w:color="auto"/>
          <w:lang w:val="en-US" w:eastAsia="zh-CN"/>
          <w14:textFill>
            <w14:solidFill>
              <w14:schemeClr w14:val="tx1"/>
            </w14:solidFill>
          </w14:textFill>
        </w:rPr>
        <w:t>400</w:t>
      </w:r>
      <w:r>
        <w:rPr>
          <w:rFonts w:ascii="仿宋" w:hAnsi="仿宋" w:eastAsia="仿宋" w:cs="仿宋"/>
          <w:color w:val="000000" w:themeColor="text1"/>
          <w:kern w:val="0"/>
          <w:sz w:val="32"/>
          <w:szCs w:val="32"/>
          <w:u w:val="none" w:color="auto"/>
          <w14:textFill>
            <w14:solidFill>
              <w14:schemeClr w14:val="tx1"/>
            </w14:solidFill>
          </w14:textFill>
        </w:rPr>
        <w:t>万元，完成预算的</w:t>
      </w:r>
      <w:r>
        <w:rPr>
          <w:rFonts w:hint="eastAsia" w:eastAsia="SimSun"/>
          <w:color w:val="000000" w:themeColor="text1"/>
          <w:kern w:val="0"/>
          <w:sz w:val="32"/>
          <w:szCs w:val="32"/>
          <w:u w:val="none" w:color="auto"/>
          <w:lang w:val="en-US" w:eastAsia="zh-CN"/>
          <w14:textFill>
            <w14:solidFill>
              <w14:schemeClr w14:val="tx1"/>
            </w14:solidFill>
          </w14:textFill>
        </w:rPr>
        <w:t>100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。项目绩效目标完成情况：</w:t>
      </w:r>
    </w:p>
    <w:p w14:paraId="224DC43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1.产出指标完成情况</w:t>
      </w:r>
    </w:p>
    <w:p w14:paraId="54A6577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（1）数量指标</w:t>
      </w:r>
    </w:p>
    <w:p w14:paraId="17D240E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1）道路全长(米)，</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5121</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5121</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1B39154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2）道路红线宽(米)，</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63</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63</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6DFB279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（2）质量指标</w:t>
      </w:r>
    </w:p>
    <w:p w14:paraId="21A19E9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1）道路验收合格(%)，</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80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80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7D09B25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2）绿化验收合格(%)，</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80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80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45CCB04A">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（3）时效指标</w:t>
      </w:r>
    </w:p>
    <w:p w14:paraId="27DDB06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1）完成道路建设的及时性(%)，</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80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80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2480159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2）完成道路绿化的及时性(%)，</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80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80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5878404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（4）成本指标</w:t>
      </w:r>
    </w:p>
    <w:p w14:paraId="632885B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1）道路成本控制(%)，</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53A1AD0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2）绿化成本控制(%)，</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00C1E6F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2.效益指标完成情况</w:t>
      </w:r>
    </w:p>
    <w:p w14:paraId="608A30B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（5）经济效益</w:t>
      </w:r>
    </w:p>
    <w:p w14:paraId="4F3F29B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1）道路两侧土地增值(倍)，</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7F1CF88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（6）社会效益</w:t>
      </w:r>
    </w:p>
    <w:p w14:paraId="4C05E3D7">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1）改善双河区居民生活条件(%)，</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3C9FF617">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（7）生态效益</w:t>
      </w:r>
    </w:p>
    <w:p w14:paraId="1DC4AD5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1）改善双河区环境(%)，</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0FCD1EF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（8）可持续影响</w:t>
      </w:r>
    </w:p>
    <w:p w14:paraId="6A60907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1）营造良好的开发环境(%)，</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139DAD9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3.满意度指标完成情况</w:t>
      </w:r>
    </w:p>
    <w:p w14:paraId="3C28D4B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（9）服务对象满意度</w:t>
      </w:r>
    </w:p>
    <w:p w14:paraId="1BD5AC3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1）改善出行条件(%)，</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793F4F10">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发现的主要问题及原因：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无</w:t>
      </w:r>
      <w:r>
        <w:rPr>
          <w:rFonts w:ascii="仿宋" w:hAnsi="仿宋" w:eastAsia="仿宋" w:cs="仿宋"/>
          <w:color w:val="000000" w:themeColor="text1"/>
          <w:kern w:val="0"/>
          <w:sz w:val="32"/>
          <w:szCs w:val="32"/>
          <w:u w:val="none" w:color="auto"/>
          <w14:textFill>
            <w14:solidFill>
              <w14:schemeClr w14:val="tx1"/>
            </w14:solidFill>
          </w14:textFill>
        </w:rPr>
        <w:t>。下一步改进措施：</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无</w:t>
      </w:r>
      <w:r>
        <w:rPr>
          <w:rFonts w:ascii="仿宋" w:hAnsi="仿宋" w:eastAsia="仿宋" w:cs="仿宋"/>
          <w:color w:val="000000" w:themeColor="text1"/>
          <w:kern w:val="0"/>
          <w:sz w:val="32"/>
          <w:szCs w:val="32"/>
          <w:u w:val="none" w:color="auto"/>
          <w14:textFill>
            <w14:solidFill>
              <w14:schemeClr w14:val="tx1"/>
            </w14:solidFill>
          </w14:textFill>
        </w:rPr>
        <w:t>。</w:t>
      </w:r>
    </w:p>
    <w:p w14:paraId="2B6A4C62">
      <w:pPr>
        <w:spacing w:before="44" w:line="208" w:lineRule="auto"/>
        <w:ind w:left="2341"/>
        <w:outlineLvl w:val="0"/>
        <w:rPr>
          <w:rFonts w:ascii="方正仿宋_GB2312" w:hAnsi="方正仿宋_GB2312" w:eastAsia="方正仿宋_GB2312" w:cs="方正仿宋_GB2312"/>
          <w:color w:val="000000" w:themeColor="text1"/>
          <w:sz w:val="28"/>
          <w:szCs w:val="28"/>
          <w:u w:val="none" w:color="auto"/>
          <w14:textFill>
            <w14:solidFill>
              <w14:schemeClr w14:val="tx1"/>
            </w14:solidFill>
          </w14:textFill>
        </w:rPr>
      </w:pPr>
      <w:r>
        <w:rPr>
          <w:rFonts w:ascii="方正仿宋_GB2312" w:hAnsi="方正仿宋_GB2312" w:eastAsia="方正仿宋_GB2312" w:cs="方正仿宋_GB2312"/>
          <w:b/>
          <w:bCs/>
          <w:color w:val="000000" w:themeColor="text1"/>
          <w:spacing w:val="-1"/>
          <w:sz w:val="28"/>
          <w:szCs w:val="28"/>
          <w:u w:val="none" w:color="auto"/>
          <w14:textFill>
            <w14:solidFill>
              <w14:schemeClr w14:val="tx1"/>
            </w14:solidFill>
          </w14:textFill>
        </w:rPr>
        <w:t>项目支出绩效自评表(2025年度）</w:t>
      </w:r>
    </w:p>
    <w:tbl>
      <w:tblPr>
        <w:tblStyle w:val="31"/>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700"/>
        <w:gridCol w:w="578"/>
        <w:gridCol w:w="972"/>
        <w:gridCol w:w="1706"/>
        <w:gridCol w:w="508"/>
        <w:gridCol w:w="596"/>
        <w:gridCol w:w="563"/>
        <w:gridCol w:w="661"/>
        <w:gridCol w:w="513"/>
        <w:gridCol w:w="479"/>
        <w:gridCol w:w="453"/>
        <w:gridCol w:w="591"/>
      </w:tblGrid>
      <w:tr w14:paraId="00DAE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 w:hRule="atLeast"/>
        </w:trPr>
        <w:tc>
          <w:tcPr>
            <w:tcW w:w="769" w:type="pct"/>
            <w:gridSpan w:val="2"/>
            <w:vAlign w:val="top"/>
          </w:tcPr>
          <w:p w14:paraId="6A281339">
            <w:pPr>
              <w:pStyle w:val="30"/>
              <w:spacing w:before="30" w:line="207" w:lineRule="auto"/>
              <w:ind w:left="207"/>
              <w:rPr>
                <w:color w:val="000000" w:themeColor="text1"/>
                <w:u w:val="none" w:color="auto"/>
                <w14:textFill>
                  <w14:solidFill>
                    <w14:schemeClr w14:val="tx1"/>
                  </w14:solidFill>
                </w14:textFill>
              </w:rPr>
            </w:pPr>
            <w:r>
              <w:rPr>
                <w:color w:val="000000" w:themeColor="text1"/>
                <w:spacing w:val="-15"/>
                <w:u w:val="none" w:color="auto"/>
                <w14:textFill>
                  <w14:solidFill>
                    <w14:schemeClr w14:val="tx1"/>
                  </w14:solidFill>
                </w14:textFill>
              </w:rPr>
              <w:t>项</w:t>
            </w:r>
            <w:r>
              <w:rPr>
                <w:color w:val="000000" w:themeColor="text1"/>
                <w:spacing w:val="-33"/>
                <w:u w:val="none" w:color="auto"/>
                <w14:textFill>
                  <w14:solidFill>
                    <w14:schemeClr w14:val="tx1"/>
                  </w14:solidFill>
                </w14:textFill>
              </w:rPr>
              <w:t xml:space="preserve"> </w:t>
            </w:r>
            <w:r>
              <w:rPr>
                <w:color w:val="000000" w:themeColor="text1"/>
                <w:spacing w:val="-15"/>
                <w:u w:val="none" w:color="auto"/>
                <w14:textFill>
                  <w14:solidFill>
                    <w14:schemeClr w14:val="tx1"/>
                  </w14:solidFill>
                </w14:textFill>
              </w:rPr>
              <w:t>目名称</w:t>
            </w:r>
          </w:p>
        </w:tc>
        <w:tc>
          <w:tcPr>
            <w:tcW w:w="4230" w:type="pct"/>
            <w:gridSpan w:val="10"/>
            <w:vAlign w:val="top"/>
          </w:tcPr>
          <w:p w14:paraId="6396C395">
            <w:pPr>
              <w:pStyle w:val="30"/>
              <w:spacing w:before="30" w:line="207" w:lineRule="auto"/>
              <w:ind w:left="144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双河区规划支路市政道路及管网配套工程</w:t>
            </w:r>
          </w:p>
        </w:tc>
      </w:tr>
      <w:tr w14:paraId="4F1AA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769" w:type="pct"/>
            <w:gridSpan w:val="2"/>
            <w:vAlign w:val="top"/>
          </w:tcPr>
          <w:p w14:paraId="7C857DE3">
            <w:pPr>
              <w:pStyle w:val="30"/>
              <w:spacing w:before="21" w:line="207" w:lineRule="auto"/>
              <w:ind w:left="214"/>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主管部门</w:t>
            </w:r>
          </w:p>
        </w:tc>
        <w:tc>
          <w:tcPr>
            <w:tcW w:w="2272" w:type="pct"/>
            <w:gridSpan w:val="4"/>
            <w:vAlign w:val="top"/>
          </w:tcPr>
          <w:p w14:paraId="21371E13">
            <w:pPr>
              <w:pStyle w:val="30"/>
              <w:spacing w:before="21" w:line="207" w:lineRule="auto"/>
              <w:ind w:left="146"/>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巴彦淖尔市住房和城乡建设局（部门）</w:t>
            </w:r>
          </w:p>
        </w:tc>
        <w:tc>
          <w:tcPr>
            <w:tcW w:w="735" w:type="pct"/>
            <w:gridSpan w:val="2"/>
            <w:vAlign w:val="top"/>
          </w:tcPr>
          <w:p w14:paraId="3C4AA61B">
            <w:pPr>
              <w:pStyle w:val="30"/>
              <w:spacing w:before="21" w:line="207" w:lineRule="auto"/>
              <w:ind w:left="195"/>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实施单位</w:t>
            </w:r>
          </w:p>
        </w:tc>
        <w:tc>
          <w:tcPr>
            <w:tcW w:w="1221" w:type="pct"/>
            <w:gridSpan w:val="4"/>
            <w:vAlign w:val="top"/>
          </w:tcPr>
          <w:p w14:paraId="1F08A520">
            <w:pPr>
              <w:pStyle w:val="30"/>
              <w:spacing w:line="226" w:lineRule="auto"/>
              <w:ind w:left="110"/>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巴彦淖尔市城市新区</w:t>
            </w:r>
          </w:p>
        </w:tc>
      </w:tr>
      <w:tr w14:paraId="5BE22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769" w:type="pct"/>
            <w:gridSpan w:val="2"/>
            <w:vMerge w:val="restart"/>
            <w:tcBorders>
              <w:bottom w:val="nil"/>
            </w:tcBorders>
            <w:vAlign w:val="top"/>
          </w:tcPr>
          <w:p w14:paraId="31805916">
            <w:pPr>
              <w:spacing w:line="327" w:lineRule="auto"/>
              <w:rPr>
                <w:rFonts w:ascii="Arial"/>
                <w:color w:val="000000" w:themeColor="text1"/>
                <w:sz w:val="21"/>
                <w:u w:val="none" w:color="auto"/>
                <w14:textFill>
                  <w14:solidFill>
                    <w14:schemeClr w14:val="tx1"/>
                  </w14:solidFill>
                </w14:textFill>
              </w:rPr>
            </w:pPr>
          </w:p>
          <w:p w14:paraId="48A43DDE">
            <w:pPr>
              <w:spacing w:line="327" w:lineRule="auto"/>
              <w:rPr>
                <w:rFonts w:ascii="Arial"/>
                <w:color w:val="000000" w:themeColor="text1"/>
                <w:sz w:val="21"/>
                <w:u w:val="none" w:color="auto"/>
                <w14:textFill>
                  <w14:solidFill>
                    <w14:schemeClr w14:val="tx1"/>
                  </w14:solidFill>
                </w14:textFill>
              </w:rPr>
            </w:pPr>
          </w:p>
          <w:p w14:paraId="2B65ECC5">
            <w:pPr>
              <w:pStyle w:val="30"/>
              <w:spacing w:before="65" w:line="219" w:lineRule="auto"/>
              <w:ind w:left="193" w:right="176" w:firstLine="14"/>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项目资金</w:t>
            </w:r>
            <w:r>
              <w:rPr>
                <w:color w:val="000000" w:themeColor="text1"/>
                <w:spacing w:val="1"/>
                <w:u w:val="none" w:color="auto"/>
                <w14:textFill>
                  <w14:solidFill>
                    <w14:schemeClr w14:val="tx1"/>
                  </w14:solidFill>
                </w14:textFill>
              </w:rPr>
              <w:t>（万元）</w:t>
            </w:r>
          </w:p>
        </w:tc>
        <w:tc>
          <w:tcPr>
            <w:tcW w:w="584" w:type="pct"/>
            <w:vAlign w:val="top"/>
          </w:tcPr>
          <w:p w14:paraId="0EC7A9C0">
            <w:pPr>
              <w:rPr>
                <w:rFonts w:ascii="Arial"/>
                <w:color w:val="000000" w:themeColor="text1"/>
                <w:sz w:val="21"/>
                <w:u w:val="none" w:color="auto"/>
                <w14:textFill>
                  <w14:solidFill>
                    <w14:schemeClr w14:val="tx1"/>
                  </w14:solidFill>
                </w14:textFill>
              </w:rPr>
            </w:pPr>
          </w:p>
        </w:tc>
        <w:tc>
          <w:tcPr>
            <w:tcW w:w="1025" w:type="pct"/>
            <w:vAlign w:val="top"/>
          </w:tcPr>
          <w:p w14:paraId="262FF1BD">
            <w:pPr>
              <w:pStyle w:val="30"/>
              <w:spacing w:before="21" w:line="207" w:lineRule="auto"/>
              <w:ind w:left="299"/>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年初预算数</w:t>
            </w:r>
          </w:p>
        </w:tc>
        <w:tc>
          <w:tcPr>
            <w:tcW w:w="662" w:type="pct"/>
            <w:gridSpan w:val="2"/>
            <w:vAlign w:val="top"/>
          </w:tcPr>
          <w:p w14:paraId="6876EF62">
            <w:pPr>
              <w:pStyle w:val="30"/>
              <w:spacing w:before="21" w:line="207" w:lineRule="auto"/>
              <w:ind w:left="41"/>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全年预算数</w:t>
            </w:r>
          </w:p>
        </w:tc>
        <w:tc>
          <w:tcPr>
            <w:tcW w:w="735" w:type="pct"/>
            <w:gridSpan w:val="2"/>
            <w:vAlign w:val="top"/>
          </w:tcPr>
          <w:p w14:paraId="364ED72D">
            <w:pPr>
              <w:pStyle w:val="30"/>
              <w:spacing w:before="21" w:line="207" w:lineRule="auto"/>
              <w:ind w:left="95"/>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全年执行数</w:t>
            </w:r>
          </w:p>
        </w:tc>
        <w:tc>
          <w:tcPr>
            <w:tcW w:w="305" w:type="pct"/>
            <w:vAlign w:val="top"/>
          </w:tcPr>
          <w:p w14:paraId="092B80C4">
            <w:pPr>
              <w:pStyle w:val="30"/>
              <w:spacing w:before="21" w:line="207" w:lineRule="auto"/>
              <w:ind w:left="58"/>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分值</w:t>
            </w:r>
          </w:p>
        </w:tc>
        <w:tc>
          <w:tcPr>
            <w:tcW w:w="560" w:type="pct"/>
            <w:gridSpan w:val="2"/>
            <w:vAlign w:val="top"/>
          </w:tcPr>
          <w:p w14:paraId="66A8F319">
            <w:pPr>
              <w:pStyle w:val="30"/>
              <w:spacing w:line="204" w:lineRule="auto"/>
              <w:jc w:val="center"/>
              <w:rPr>
                <w:color w:val="000000" w:themeColor="text1"/>
                <w:u w:val="none" w:color="auto"/>
                <w14:textFill>
                  <w14:solidFill>
                    <w14:schemeClr w14:val="tx1"/>
                  </w14:solidFill>
                </w14:textFill>
              </w:rPr>
            </w:pPr>
            <w:r>
              <w:rPr>
                <w:color w:val="000000" w:themeColor="text1"/>
                <w:spacing w:val="-19"/>
                <w:w w:val="66"/>
                <w:u w:val="none" w:color="auto"/>
                <w14:textFill>
                  <w14:solidFill>
                    <w14:schemeClr w14:val="tx1"/>
                  </w14:solidFill>
                </w14:textFill>
              </w:rPr>
              <w:t>发执展行中率</w:t>
            </w:r>
            <w:r>
              <w:rPr>
                <w:color w:val="000000" w:themeColor="text1"/>
                <w:spacing w:val="-19"/>
                <w:w w:val="66"/>
                <w:position w:val="2"/>
                <w:u w:val="none" w:color="auto"/>
                <w14:textFill>
                  <w14:solidFill>
                    <w14:schemeClr w14:val="tx1"/>
                  </w14:solidFill>
                </w14:textFill>
              </w:rPr>
              <w:t>心</w:t>
            </w:r>
          </w:p>
        </w:tc>
        <w:tc>
          <w:tcPr>
            <w:tcW w:w="355" w:type="pct"/>
            <w:vAlign w:val="top"/>
          </w:tcPr>
          <w:p w14:paraId="5DD7C57E">
            <w:pPr>
              <w:pStyle w:val="30"/>
              <w:spacing w:before="21" w:line="207" w:lineRule="auto"/>
              <w:ind w:left="91"/>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得分</w:t>
            </w:r>
          </w:p>
        </w:tc>
      </w:tr>
      <w:tr w14:paraId="7A2A9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769" w:type="pct"/>
            <w:gridSpan w:val="2"/>
            <w:vMerge w:val="continue"/>
            <w:tcBorders>
              <w:top w:val="nil"/>
              <w:bottom w:val="nil"/>
            </w:tcBorders>
            <w:vAlign w:val="top"/>
          </w:tcPr>
          <w:p w14:paraId="11E50C60">
            <w:pPr>
              <w:rPr>
                <w:rFonts w:ascii="Arial"/>
                <w:color w:val="000000" w:themeColor="text1"/>
                <w:sz w:val="21"/>
                <w:u w:val="none" w:color="auto"/>
                <w14:textFill>
                  <w14:solidFill>
                    <w14:schemeClr w14:val="tx1"/>
                  </w14:solidFill>
                </w14:textFill>
              </w:rPr>
            </w:pPr>
          </w:p>
        </w:tc>
        <w:tc>
          <w:tcPr>
            <w:tcW w:w="584" w:type="pct"/>
            <w:vAlign w:val="top"/>
          </w:tcPr>
          <w:p w14:paraId="12AA0B7F">
            <w:pPr>
              <w:pStyle w:val="30"/>
              <w:spacing w:before="1" w:line="195" w:lineRule="auto"/>
              <w:ind w:left="263" w:right="50" w:hanging="194"/>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年度资金</w:t>
            </w:r>
            <w:r>
              <w:rPr>
                <w:color w:val="000000" w:themeColor="text1"/>
                <w:spacing w:val="-12"/>
                <w:u w:val="none" w:color="auto"/>
                <w14:textFill>
                  <w14:solidFill>
                    <w14:schemeClr w14:val="tx1"/>
                  </w14:solidFill>
                </w14:textFill>
              </w:rPr>
              <w:t>总额</w:t>
            </w:r>
          </w:p>
        </w:tc>
        <w:tc>
          <w:tcPr>
            <w:tcW w:w="1025" w:type="pct"/>
            <w:vAlign w:val="top"/>
          </w:tcPr>
          <w:p w14:paraId="0FE1C2DA">
            <w:pPr>
              <w:pStyle w:val="30"/>
              <w:spacing w:before="113" w:line="269" w:lineRule="exact"/>
              <w:ind w:left="705"/>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0</w:t>
            </w:r>
          </w:p>
        </w:tc>
        <w:tc>
          <w:tcPr>
            <w:tcW w:w="662" w:type="pct"/>
            <w:gridSpan w:val="2"/>
            <w:vAlign w:val="top"/>
          </w:tcPr>
          <w:p w14:paraId="35B552CB">
            <w:pPr>
              <w:pStyle w:val="30"/>
              <w:spacing w:before="113" w:line="268" w:lineRule="exact"/>
              <w:ind w:left="309"/>
              <w:rPr>
                <w:color w:val="000000" w:themeColor="text1"/>
                <w:u w:val="none" w:color="auto"/>
                <w14:textFill>
                  <w14:solidFill>
                    <w14:schemeClr w14:val="tx1"/>
                  </w14:solidFill>
                </w14:textFill>
              </w:rPr>
            </w:pPr>
            <w:r>
              <w:rPr>
                <w:color w:val="000000" w:themeColor="text1"/>
                <w:spacing w:val="-2"/>
                <w:position w:val="2"/>
                <w:u w:val="none" w:color="auto"/>
                <w14:textFill>
                  <w14:solidFill>
                    <w14:schemeClr w14:val="tx1"/>
                  </w14:solidFill>
                </w14:textFill>
              </w:rPr>
              <w:t>3200</w:t>
            </w:r>
          </w:p>
        </w:tc>
        <w:tc>
          <w:tcPr>
            <w:tcW w:w="735" w:type="pct"/>
            <w:gridSpan w:val="2"/>
            <w:vAlign w:val="top"/>
          </w:tcPr>
          <w:p w14:paraId="48955C94">
            <w:pPr>
              <w:pStyle w:val="30"/>
              <w:spacing w:before="113" w:line="268" w:lineRule="exact"/>
              <w:ind w:left="366"/>
              <w:rPr>
                <w:color w:val="000000" w:themeColor="text1"/>
                <w:u w:val="none" w:color="auto"/>
                <w14:textFill>
                  <w14:solidFill>
                    <w14:schemeClr w14:val="tx1"/>
                  </w14:solidFill>
                </w14:textFill>
              </w:rPr>
            </w:pPr>
            <w:r>
              <w:rPr>
                <w:color w:val="000000" w:themeColor="text1"/>
                <w:spacing w:val="-2"/>
                <w:position w:val="2"/>
                <w:u w:val="none" w:color="auto"/>
                <w14:textFill>
                  <w14:solidFill>
                    <w14:schemeClr w14:val="tx1"/>
                  </w14:solidFill>
                </w14:textFill>
              </w:rPr>
              <w:t>3200</w:t>
            </w:r>
          </w:p>
        </w:tc>
        <w:tc>
          <w:tcPr>
            <w:tcW w:w="305" w:type="pct"/>
            <w:vAlign w:val="top"/>
          </w:tcPr>
          <w:p w14:paraId="3D9C4C41">
            <w:pPr>
              <w:pStyle w:val="30"/>
              <w:spacing w:before="113" w:line="269" w:lineRule="exact"/>
              <w:ind w:left="150"/>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10</w:t>
            </w:r>
          </w:p>
        </w:tc>
        <w:tc>
          <w:tcPr>
            <w:tcW w:w="560" w:type="pct"/>
            <w:gridSpan w:val="2"/>
            <w:vAlign w:val="top"/>
          </w:tcPr>
          <w:p w14:paraId="0B9245D9">
            <w:pPr>
              <w:pStyle w:val="30"/>
              <w:spacing w:line="194" w:lineRule="auto"/>
              <w:ind w:left="179"/>
              <w:rPr>
                <w:color w:val="000000" w:themeColor="text1"/>
                <w:sz w:val="11"/>
                <w:szCs w:val="11"/>
                <w:u w:val="none" w:color="auto"/>
                <w14:textFill>
                  <w14:solidFill>
                    <w14:schemeClr w14:val="tx1"/>
                  </w14:solidFill>
                </w14:textFill>
              </w:rPr>
            </w:pPr>
            <w:r>
              <w:rPr>
                <w:color w:val="000000" w:themeColor="text1"/>
                <w:spacing w:val="42"/>
                <w:w w:val="109"/>
                <w:sz w:val="11"/>
                <w:szCs w:val="11"/>
                <w:u w:val="none" w:color="auto"/>
                <w14:textFill>
                  <w14:solidFill>
                    <w14:schemeClr w14:val="tx1"/>
                  </w14:solidFill>
                </w14:textFill>
              </w:rPr>
              <w:t>（%）</w:t>
            </w:r>
          </w:p>
          <w:p w14:paraId="44D1C047">
            <w:pPr>
              <w:pStyle w:val="30"/>
              <w:spacing w:line="233" w:lineRule="auto"/>
              <w:ind w:left="292"/>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100</w:t>
            </w:r>
          </w:p>
        </w:tc>
        <w:tc>
          <w:tcPr>
            <w:tcW w:w="355" w:type="pct"/>
            <w:vAlign w:val="top"/>
          </w:tcPr>
          <w:p w14:paraId="73F073C3">
            <w:pPr>
              <w:pStyle w:val="30"/>
              <w:spacing w:before="113" w:line="269" w:lineRule="exact"/>
              <w:ind w:left="183"/>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10</w:t>
            </w:r>
          </w:p>
        </w:tc>
      </w:tr>
      <w:tr w14:paraId="0F6A8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769" w:type="pct"/>
            <w:gridSpan w:val="2"/>
            <w:vMerge w:val="continue"/>
            <w:tcBorders>
              <w:top w:val="nil"/>
              <w:bottom w:val="nil"/>
            </w:tcBorders>
            <w:vAlign w:val="top"/>
          </w:tcPr>
          <w:p w14:paraId="7D39F710">
            <w:pPr>
              <w:rPr>
                <w:rFonts w:ascii="Arial"/>
                <w:color w:val="000000" w:themeColor="text1"/>
                <w:sz w:val="21"/>
                <w:u w:val="none" w:color="auto"/>
                <w14:textFill>
                  <w14:solidFill>
                    <w14:schemeClr w14:val="tx1"/>
                  </w14:solidFill>
                </w14:textFill>
              </w:rPr>
            </w:pPr>
          </w:p>
        </w:tc>
        <w:tc>
          <w:tcPr>
            <w:tcW w:w="584" w:type="pct"/>
            <w:vAlign w:val="top"/>
          </w:tcPr>
          <w:p w14:paraId="4100829E">
            <w:pPr>
              <w:pStyle w:val="30"/>
              <w:spacing w:before="2" w:line="195" w:lineRule="auto"/>
              <w:ind w:left="160" w:right="50" w:hanging="89"/>
              <w:rPr>
                <w:color w:val="000000" w:themeColor="text1"/>
                <w:u w:val="none" w:color="auto"/>
                <w14:textFill>
                  <w14:solidFill>
                    <w14:schemeClr w14:val="tx1"/>
                  </w14:solidFill>
                </w14:textFill>
              </w:rPr>
            </w:pPr>
            <w:r>
              <w:rPr>
                <w:color w:val="000000" w:themeColor="text1"/>
                <w:spacing w:val="-12"/>
                <w:u w:val="none" w:color="auto"/>
                <w14:textFill>
                  <w14:solidFill>
                    <w14:schemeClr w14:val="tx1"/>
                  </w14:solidFill>
                </w14:textFill>
              </w:rPr>
              <w:t>其中</w:t>
            </w:r>
            <w:r>
              <w:rPr>
                <w:color w:val="000000" w:themeColor="text1"/>
                <w:spacing w:val="-46"/>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：财</w:t>
            </w:r>
            <w:r>
              <w:rPr>
                <w:color w:val="000000" w:themeColor="text1"/>
                <w:spacing w:val="-4"/>
                <w:u w:val="none" w:color="auto"/>
                <w14:textFill>
                  <w14:solidFill>
                    <w14:schemeClr w14:val="tx1"/>
                  </w14:solidFill>
                </w14:textFill>
              </w:rPr>
              <w:t>政拨款</w:t>
            </w:r>
          </w:p>
        </w:tc>
        <w:tc>
          <w:tcPr>
            <w:tcW w:w="1025" w:type="pct"/>
            <w:vAlign w:val="top"/>
          </w:tcPr>
          <w:p w14:paraId="2D6917ED">
            <w:pPr>
              <w:pStyle w:val="30"/>
              <w:spacing w:before="114" w:line="269" w:lineRule="exact"/>
              <w:ind w:left="705"/>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0</w:t>
            </w:r>
          </w:p>
        </w:tc>
        <w:tc>
          <w:tcPr>
            <w:tcW w:w="662" w:type="pct"/>
            <w:gridSpan w:val="2"/>
            <w:vAlign w:val="top"/>
          </w:tcPr>
          <w:p w14:paraId="2ADF6AB9">
            <w:pPr>
              <w:pStyle w:val="30"/>
              <w:spacing w:before="114" w:line="268" w:lineRule="exact"/>
              <w:ind w:left="309"/>
              <w:rPr>
                <w:color w:val="000000" w:themeColor="text1"/>
                <w:u w:val="none" w:color="auto"/>
                <w14:textFill>
                  <w14:solidFill>
                    <w14:schemeClr w14:val="tx1"/>
                  </w14:solidFill>
                </w14:textFill>
              </w:rPr>
            </w:pPr>
            <w:r>
              <w:rPr>
                <w:color w:val="000000" w:themeColor="text1"/>
                <w:spacing w:val="-2"/>
                <w:position w:val="2"/>
                <w:u w:val="none" w:color="auto"/>
                <w14:textFill>
                  <w14:solidFill>
                    <w14:schemeClr w14:val="tx1"/>
                  </w14:solidFill>
                </w14:textFill>
              </w:rPr>
              <w:t>3200</w:t>
            </w:r>
          </w:p>
        </w:tc>
        <w:tc>
          <w:tcPr>
            <w:tcW w:w="735" w:type="pct"/>
            <w:gridSpan w:val="2"/>
            <w:vAlign w:val="top"/>
          </w:tcPr>
          <w:p w14:paraId="00694193">
            <w:pPr>
              <w:pStyle w:val="30"/>
              <w:spacing w:before="114" w:line="268" w:lineRule="exact"/>
              <w:ind w:left="366"/>
              <w:rPr>
                <w:color w:val="000000" w:themeColor="text1"/>
                <w:u w:val="none" w:color="auto"/>
                <w14:textFill>
                  <w14:solidFill>
                    <w14:schemeClr w14:val="tx1"/>
                  </w14:solidFill>
                </w14:textFill>
              </w:rPr>
            </w:pPr>
            <w:r>
              <w:rPr>
                <w:color w:val="000000" w:themeColor="text1"/>
                <w:spacing w:val="-2"/>
                <w:position w:val="2"/>
                <w:u w:val="none" w:color="auto"/>
                <w14:textFill>
                  <w14:solidFill>
                    <w14:schemeClr w14:val="tx1"/>
                  </w14:solidFill>
                </w14:textFill>
              </w:rPr>
              <w:t>3200</w:t>
            </w:r>
          </w:p>
        </w:tc>
        <w:tc>
          <w:tcPr>
            <w:tcW w:w="305" w:type="pct"/>
            <w:vAlign w:val="top"/>
          </w:tcPr>
          <w:p w14:paraId="289C0C91">
            <w:pPr>
              <w:pStyle w:val="30"/>
              <w:spacing w:before="203" w:line="141" w:lineRule="exact"/>
              <w:ind w:left="4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560" w:type="pct"/>
            <w:gridSpan w:val="2"/>
            <w:vAlign w:val="top"/>
          </w:tcPr>
          <w:p w14:paraId="76724DE0">
            <w:pPr>
              <w:pStyle w:val="30"/>
              <w:spacing w:before="114" w:line="269" w:lineRule="exact"/>
              <w:ind w:left="292"/>
              <w:rPr>
                <w:color w:val="000000" w:themeColor="text1"/>
                <w:u w:val="none" w:color="auto"/>
                <w14:textFill>
                  <w14:solidFill>
                    <w14:schemeClr w14:val="tx1"/>
                  </w14:solidFill>
                </w14:textFill>
              </w:rPr>
            </w:pPr>
            <w:r>
              <w:rPr>
                <w:color w:val="000000" w:themeColor="text1"/>
                <w:spacing w:val="-4"/>
                <w:position w:val="2"/>
                <w:u w:val="none" w:color="auto"/>
                <w14:textFill>
                  <w14:solidFill>
                    <w14:schemeClr w14:val="tx1"/>
                  </w14:solidFill>
                </w14:textFill>
              </w:rPr>
              <w:t>100</w:t>
            </w:r>
          </w:p>
        </w:tc>
        <w:tc>
          <w:tcPr>
            <w:tcW w:w="355" w:type="pct"/>
            <w:vAlign w:val="top"/>
          </w:tcPr>
          <w:p w14:paraId="377146C3">
            <w:pPr>
              <w:pStyle w:val="30"/>
              <w:spacing w:before="203" w:line="141" w:lineRule="exact"/>
              <w:ind w:left="80"/>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r>
      <w:tr w14:paraId="38754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769" w:type="pct"/>
            <w:gridSpan w:val="2"/>
            <w:vMerge w:val="continue"/>
            <w:tcBorders>
              <w:top w:val="nil"/>
              <w:bottom w:val="nil"/>
            </w:tcBorders>
            <w:vAlign w:val="top"/>
          </w:tcPr>
          <w:p w14:paraId="1E2C43BF">
            <w:pPr>
              <w:rPr>
                <w:rFonts w:ascii="Arial"/>
                <w:color w:val="000000" w:themeColor="text1"/>
                <w:sz w:val="21"/>
                <w:u w:val="none" w:color="auto"/>
                <w14:textFill>
                  <w14:solidFill>
                    <w14:schemeClr w14:val="tx1"/>
                  </w14:solidFill>
                </w14:textFill>
              </w:rPr>
            </w:pPr>
          </w:p>
        </w:tc>
        <w:tc>
          <w:tcPr>
            <w:tcW w:w="584" w:type="pct"/>
            <w:vAlign w:val="top"/>
          </w:tcPr>
          <w:p w14:paraId="2DE5743A">
            <w:pPr>
              <w:pStyle w:val="30"/>
              <w:spacing w:before="3" w:line="194" w:lineRule="auto"/>
              <w:ind w:left="256" w:right="50" w:hanging="183"/>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上年结转</w:t>
            </w:r>
            <w:r>
              <w:rPr>
                <w:color w:val="000000" w:themeColor="text1"/>
                <w:spacing w:val="-9"/>
                <w:u w:val="none" w:color="auto"/>
                <w14:textFill>
                  <w14:solidFill>
                    <w14:schemeClr w14:val="tx1"/>
                  </w14:solidFill>
                </w14:textFill>
              </w:rPr>
              <w:t>资金</w:t>
            </w:r>
          </w:p>
        </w:tc>
        <w:tc>
          <w:tcPr>
            <w:tcW w:w="1025" w:type="pct"/>
            <w:vAlign w:val="top"/>
          </w:tcPr>
          <w:p w14:paraId="17768449">
            <w:pPr>
              <w:rPr>
                <w:rFonts w:ascii="Arial"/>
                <w:color w:val="000000" w:themeColor="text1"/>
                <w:sz w:val="21"/>
                <w:u w:val="none" w:color="auto"/>
                <w14:textFill>
                  <w14:solidFill>
                    <w14:schemeClr w14:val="tx1"/>
                  </w14:solidFill>
                </w14:textFill>
              </w:rPr>
            </w:pPr>
          </w:p>
        </w:tc>
        <w:tc>
          <w:tcPr>
            <w:tcW w:w="662" w:type="pct"/>
            <w:gridSpan w:val="2"/>
            <w:vAlign w:val="top"/>
          </w:tcPr>
          <w:p w14:paraId="0359BDCA">
            <w:pPr>
              <w:rPr>
                <w:rFonts w:ascii="Arial"/>
                <w:color w:val="000000" w:themeColor="text1"/>
                <w:sz w:val="21"/>
                <w:u w:val="none" w:color="auto"/>
                <w14:textFill>
                  <w14:solidFill>
                    <w14:schemeClr w14:val="tx1"/>
                  </w14:solidFill>
                </w14:textFill>
              </w:rPr>
            </w:pPr>
          </w:p>
        </w:tc>
        <w:tc>
          <w:tcPr>
            <w:tcW w:w="735" w:type="pct"/>
            <w:gridSpan w:val="2"/>
            <w:vAlign w:val="top"/>
          </w:tcPr>
          <w:p w14:paraId="6B868901">
            <w:pPr>
              <w:rPr>
                <w:rFonts w:ascii="Arial"/>
                <w:color w:val="000000" w:themeColor="text1"/>
                <w:sz w:val="21"/>
                <w:u w:val="none" w:color="auto"/>
                <w14:textFill>
                  <w14:solidFill>
                    <w14:schemeClr w14:val="tx1"/>
                  </w14:solidFill>
                </w14:textFill>
              </w:rPr>
            </w:pPr>
          </w:p>
        </w:tc>
        <w:tc>
          <w:tcPr>
            <w:tcW w:w="305" w:type="pct"/>
            <w:vAlign w:val="top"/>
          </w:tcPr>
          <w:p w14:paraId="41666CF0">
            <w:pPr>
              <w:pStyle w:val="30"/>
              <w:spacing w:before="203" w:line="141" w:lineRule="exact"/>
              <w:ind w:left="4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560" w:type="pct"/>
            <w:gridSpan w:val="2"/>
            <w:vAlign w:val="top"/>
          </w:tcPr>
          <w:p w14:paraId="1FF5D22A">
            <w:pPr>
              <w:rPr>
                <w:rFonts w:ascii="Arial"/>
                <w:color w:val="000000" w:themeColor="text1"/>
                <w:sz w:val="21"/>
                <w:u w:val="none" w:color="auto"/>
                <w14:textFill>
                  <w14:solidFill>
                    <w14:schemeClr w14:val="tx1"/>
                  </w14:solidFill>
                </w14:textFill>
              </w:rPr>
            </w:pPr>
          </w:p>
        </w:tc>
        <w:tc>
          <w:tcPr>
            <w:tcW w:w="355" w:type="pct"/>
            <w:vAlign w:val="top"/>
          </w:tcPr>
          <w:p w14:paraId="1EC9EFFE">
            <w:pPr>
              <w:pStyle w:val="30"/>
              <w:spacing w:before="203" w:line="141" w:lineRule="exact"/>
              <w:ind w:left="80"/>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r>
      <w:tr w14:paraId="291BB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769" w:type="pct"/>
            <w:gridSpan w:val="2"/>
            <w:vMerge w:val="continue"/>
            <w:tcBorders>
              <w:top w:val="nil"/>
            </w:tcBorders>
            <w:vAlign w:val="top"/>
          </w:tcPr>
          <w:p w14:paraId="6E5CEB89">
            <w:pPr>
              <w:rPr>
                <w:rFonts w:ascii="Arial"/>
                <w:color w:val="000000" w:themeColor="text1"/>
                <w:sz w:val="21"/>
                <w:u w:val="none" w:color="auto"/>
                <w14:textFill>
                  <w14:solidFill>
                    <w14:schemeClr w14:val="tx1"/>
                  </w14:solidFill>
                </w14:textFill>
              </w:rPr>
            </w:pPr>
          </w:p>
        </w:tc>
        <w:tc>
          <w:tcPr>
            <w:tcW w:w="584" w:type="pct"/>
            <w:vAlign w:val="top"/>
          </w:tcPr>
          <w:p w14:paraId="58B78AFF">
            <w:pPr>
              <w:pStyle w:val="30"/>
              <w:spacing w:before="24" w:line="204" w:lineRule="auto"/>
              <w:ind w:left="71"/>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其他资金</w:t>
            </w:r>
          </w:p>
        </w:tc>
        <w:tc>
          <w:tcPr>
            <w:tcW w:w="1025" w:type="pct"/>
            <w:vAlign w:val="top"/>
          </w:tcPr>
          <w:p w14:paraId="0A92B120">
            <w:pPr>
              <w:pStyle w:val="30"/>
              <w:spacing w:before="24" w:line="204" w:lineRule="auto"/>
              <w:ind w:left="705"/>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0</w:t>
            </w:r>
          </w:p>
        </w:tc>
        <w:tc>
          <w:tcPr>
            <w:tcW w:w="662" w:type="pct"/>
            <w:gridSpan w:val="2"/>
            <w:vAlign w:val="top"/>
          </w:tcPr>
          <w:p w14:paraId="533104C5">
            <w:pPr>
              <w:pStyle w:val="30"/>
              <w:spacing w:before="24" w:line="204" w:lineRule="auto"/>
              <w:ind w:left="444"/>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0</w:t>
            </w:r>
          </w:p>
        </w:tc>
        <w:tc>
          <w:tcPr>
            <w:tcW w:w="735" w:type="pct"/>
            <w:gridSpan w:val="2"/>
            <w:vAlign w:val="top"/>
          </w:tcPr>
          <w:p w14:paraId="5AEDBA4E">
            <w:pPr>
              <w:pStyle w:val="30"/>
              <w:spacing w:before="24" w:line="204" w:lineRule="auto"/>
              <w:ind w:left="501"/>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0</w:t>
            </w:r>
          </w:p>
        </w:tc>
        <w:tc>
          <w:tcPr>
            <w:tcW w:w="305" w:type="pct"/>
            <w:vAlign w:val="top"/>
          </w:tcPr>
          <w:p w14:paraId="23D3FEC3">
            <w:pPr>
              <w:pStyle w:val="30"/>
              <w:spacing w:before="113" w:line="132" w:lineRule="exact"/>
              <w:ind w:left="4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560" w:type="pct"/>
            <w:gridSpan w:val="2"/>
            <w:vAlign w:val="top"/>
          </w:tcPr>
          <w:p w14:paraId="6FEDAD15">
            <w:pPr>
              <w:pStyle w:val="30"/>
              <w:spacing w:before="24" w:line="204" w:lineRule="auto"/>
              <w:ind w:left="377"/>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0</w:t>
            </w:r>
          </w:p>
        </w:tc>
        <w:tc>
          <w:tcPr>
            <w:tcW w:w="355" w:type="pct"/>
            <w:vAlign w:val="top"/>
          </w:tcPr>
          <w:p w14:paraId="7210669A">
            <w:pPr>
              <w:pStyle w:val="30"/>
              <w:spacing w:before="113" w:line="132" w:lineRule="exact"/>
              <w:ind w:left="80"/>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r>
      <w:tr w14:paraId="5D49D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769" w:type="pct"/>
            <w:gridSpan w:val="2"/>
            <w:vMerge w:val="restart"/>
            <w:tcBorders>
              <w:bottom w:val="nil"/>
            </w:tcBorders>
            <w:vAlign w:val="top"/>
          </w:tcPr>
          <w:p w14:paraId="250BD426">
            <w:pPr>
              <w:spacing w:line="264" w:lineRule="auto"/>
              <w:rPr>
                <w:rFonts w:ascii="Arial"/>
                <w:color w:val="000000" w:themeColor="text1"/>
                <w:sz w:val="21"/>
                <w:u w:val="none" w:color="auto"/>
                <w14:textFill>
                  <w14:solidFill>
                    <w14:schemeClr w14:val="tx1"/>
                  </w14:solidFill>
                </w14:textFill>
              </w:rPr>
            </w:pPr>
          </w:p>
          <w:p w14:paraId="42CC6385">
            <w:pPr>
              <w:spacing w:line="265" w:lineRule="auto"/>
              <w:rPr>
                <w:rFonts w:ascii="Arial"/>
                <w:color w:val="000000" w:themeColor="text1"/>
                <w:sz w:val="21"/>
                <w:u w:val="none" w:color="auto"/>
                <w14:textFill>
                  <w14:solidFill>
                    <w14:schemeClr w14:val="tx1"/>
                  </w14:solidFill>
                </w14:textFill>
              </w:rPr>
            </w:pPr>
          </w:p>
          <w:p w14:paraId="4B63C470">
            <w:pPr>
              <w:spacing w:line="265" w:lineRule="auto"/>
              <w:rPr>
                <w:rFonts w:ascii="Arial"/>
                <w:color w:val="000000" w:themeColor="text1"/>
                <w:sz w:val="21"/>
                <w:u w:val="none" w:color="auto"/>
                <w14:textFill>
                  <w14:solidFill>
                    <w14:schemeClr w14:val="tx1"/>
                  </w14:solidFill>
                </w14:textFill>
              </w:rPr>
            </w:pPr>
          </w:p>
          <w:p w14:paraId="1B881428">
            <w:pPr>
              <w:pStyle w:val="30"/>
              <w:spacing w:before="65" w:line="218" w:lineRule="auto"/>
              <w:ind w:left="471" w:right="91" w:hanging="357"/>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年度总体目</w:t>
            </w:r>
            <w:r>
              <w:rPr>
                <w:color w:val="000000" w:themeColor="text1"/>
                <w:u w:val="none" w:color="auto"/>
                <w14:textFill>
                  <w14:solidFill>
                    <w14:schemeClr w14:val="tx1"/>
                  </w14:solidFill>
                </w14:textFill>
              </w:rPr>
              <w:t>标</w:t>
            </w:r>
          </w:p>
        </w:tc>
        <w:tc>
          <w:tcPr>
            <w:tcW w:w="2610" w:type="pct"/>
            <w:gridSpan w:val="5"/>
            <w:vAlign w:val="top"/>
          </w:tcPr>
          <w:p w14:paraId="377107BC">
            <w:pPr>
              <w:pStyle w:val="30"/>
              <w:spacing w:before="24" w:line="204" w:lineRule="auto"/>
              <w:ind w:left="1536"/>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预期目标</w:t>
            </w:r>
          </w:p>
        </w:tc>
        <w:tc>
          <w:tcPr>
            <w:tcW w:w="1619" w:type="pct"/>
            <w:gridSpan w:val="5"/>
            <w:vAlign w:val="top"/>
          </w:tcPr>
          <w:p w14:paraId="5AF11081">
            <w:pPr>
              <w:pStyle w:val="30"/>
              <w:spacing w:before="24" w:line="204" w:lineRule="auto"/>
              <w:ind w:left="648"/>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实际完成情况</w:t>
            </w:r>
          </w:p>
        </w:tc>
      </w:tr>
      <w:tr w14:paraId="51BFD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83" w:hRule="atLeast"/>
        </w:trPr>
        <w:tc>
          <w:tcPr>
            <w:tcW w:w="769" w:type="pct"/>
            <w:gridSpan w:val="2"/>
            <w:vMerge w:val="continue"/>
            <w:tcBorders>
              <w:top w:val="nil"/>
            </w:tcBorders>
            <w:vAlign w:val="top"/>
          </w:tcPr>
          <w:p w14:paraId="447C3328">
            <w:pPr>
              <w:rPr>
                <w:rFonts w:ascii="Arial"/>
                <w:color w:val="000000" w:themeColor="text1"/>
                <w:sz w:val="21"/>
                <w:u w:val="none" w:color="auto"/>
                <w14:textFill>
                  <w14:solidFill>
                    <w14:schemeClr w14:val="tx1"/>
                  </w14:solidFill>
                </w14:textFill>
              </w:rPr>
            </w:pPr>
          </w:p>
        </w:tc>
        <w:tc>
          <w:tcPr>
            <w:tcW w:w="2610" w:type="pct"/>
            <w:gridSpan w:val="5"/>
            <w:vAlign w:val="top"/>
          </w:tcPr>
          <w:p w14:paraId="307DF3B8">
            <w:pPr>
              <w:pStyle w:val="30"/>
              <w:spacing w:before="66" w:line="207" w:lineRule="auto"/>
              <w:ind w:left="27" w:right="2" w:firstLine="12"/>
              <w:jc w:val="both"/>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完成规划支路一建设总长度1380米，红线宽30米，</w:t>
            </w:r>
            <w:r>
              <w:rPr>
                <w:color w:val="000000" w:themeColor="text1"/>
                <w:spacing w:val="-32"/>
                <w:u w:val="none" w:color="auto"/>
                <w14:textFill>
                  <w14:solidFill>
                    <w14:schemeClr w14:val="tx1"/>
                  </w14:solidFill>
                </w14:textFill>
              </w:rPr>
              <w:t xml:space="preserve"> </w:t>
            </w:r>
            <w:r>
              <w:rPr>
                <w:color w:val="000000" w:themeColor="text1"/>
                <w:spacing w:val="5"/>
                <w:u w:val="none" w:color="auto"/>
                <w14:textFill>
                  <w14:solidFill>
                    <w14:schemeClr w14:val="tx1"/>
                  </w14:solidFill>
                </w14:textFill>
              </w:rPr>
              <w:t>总用地面积42009.92平方米，配套建设污</w:t>
            </w:r>
            <w:r>
              <w:rPr>
                <w:color w:val="000000" w:themeColor="text1"/>
                <w:spacing w:val="-12"/>
                <w:u w:val="none" w:color="auto"/>
                <w14:textFill>
                  <w14:solidFill>
                    <w14:schemeClr w14:val="tx1"/>
                  </w14:solidFill>
                </w14:textFill>
              </w:rPr>
              <w:t>水</w:t>
            </w:r>
            <w:r>
              <w:rPr>
                <w:color w:val="000000" w:themeColor="text1"/>
                <w:spacing w:val="-23"/>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w:t>
            </w:r>
            <w:r>
              <w:rPr>
                <w:color w:val="000000" w:themeColor="text1"/>
                <w:spacing w:val="-33"/>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雨</w:t>
            </w:r>
            <w:r>
              <w:rPr>
                <w:color w:val="000000" w:themeColor="text1"/>
                <w:spacing w:val="-39"/>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水</w:t>
            </w:r>
            <w:r>
              <w:rPr>
                <w:color w:val="000000" w:themeColor="text1"/>
                <w:spacing w:val="-30"/>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w:t>
            </w:r>
            <w:r>
              <w:rPr>
                <w:color w:val="000000" w:themeColor="text1"/>
                <w:spacing w:val="-34"/>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给</w:t>
            </w:r>
            <w:r>
              <w:rPr>
                <w:color w:val="000000" w:themeColor="text1"/>
                <w:spacing w:val="-38"/>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水</w:t>
            </w:r>
            <w:r>
              <w:rPr>
                <w:color w:val="000000" w:themeColor="text1"/>
                <w:spacing w:val="-32"/>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管 网</w:t>
            </w:r>
            <w:r>
              <w:rPr>
                <w:color w:val="000000" w:themeColor="text1"/>
                <w:spacing w:val="-42"/>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1380</w:t>
            </w:r>
            <w:r>
              <w:rPr>
                <w:color w:val="000000" w:themeColor="text1"/>
                <w:spacing w:val="-36"/>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米，</w:t>
            </w:r>
            <w:r>
              <w:rPr>
                <w:color w:val="000000" w:themeColor="text1"/>
                <w:spacing w:val="-33"/>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绿</w:t>
            </w:r>
            <w:r>
              <w:rPr>
                <w:color w:val="000000" w:themeColor="text1"/>
                <w:spacing w:val="-35"/>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化</w:t>
            </w:r>
            <w:r>
              <w:rPr>
                <w:color w:val="000000" w:themeColor="text1"/>
                <w:spacing w:val="-27"/>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带</w:t>
            </w:r>
            <w:r>
              <w:rPr>
                <w:color w:val="000000" w:themeColor="text1"/>
                <w:spacing w:val="-32"/>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面</w:t>
            </w:r>
            <w:r>
              <w:rPr>
                <w:color w:val="000000" w:themeColor="text1"/>
                <w:spacing w:val="-33"/>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积</w:t>
            </w:r>
            <w:r>
              <w:rPr>
                <w:color w:val="000000" w:themeColor="text1"/>
                <w:u w:val="none" w:color="auto"/>
                <w14:textFill>
                  <w14:solidFill>
                    <w14:schemeClr w14:val="tx1"/>
                  </w14:solidFill>
                </w14:textFill>
              </w:rPr>
              <w:t>11529.4平方米</w:t>
            </w:r>
            <w:r>
              <w:rPr>
                <w:color w:val="000000" w:themeColor="text1"/>
                <w:spacing w:val="-40"/>
                <w:u w:val="none" w:color="auto"/>
                <w14:textFill>
                  <w14:solidFill>
                    <w14:schemeClr w14:val="tx1"/>
                  </w14:solidFill>
                </w14:textFill>
              </w:rPr>
              <w:t xml:space="preserve"> </w:t>
            </w:r>
            <w:r>
              <w:rPr>
                <w:color w:val="000000" w:themeColor="text1"/>
                <w:u w:val="none" w:color="auto"/>
                <w14:textFill>
                  <w14:solidFill>
                    <w14:schemeClr w14:val="tx1"/>
                  </w14:solidFill>
                </w14:textFill>
              </w:rPr>
              <w:t>，安装路灯70盏</w:t>
            </w:r>
            <w:r>
              <w:rPr>
                <w:color w:val="000000" w:themeColor="text1"/>
                <w:spacing w:val="-44"/>
                <w:u w:val="none" w:color="auto"/>
                <w14:textFill>
                  <w14:solidFill>
                    <w14:schemeClr w14:val="tx1"/>
                  </w14:solidFill>
                </w14:textFill>
              </w:rPr>
              <w:t xml:space="preserve"> </w:t>
            </w:r>
            <w:r>
              <w:rPr>
                <w:color w:val="000000" w:themeColor="text1"/>
                <w:u w:val="none" w:color="auto"/>
                <w14:textFill>
                  <w14:solidFill>
                    <w14:schemeClr w14:val="tx1"/>
                  </w14:solidFill>
                </w14:textFill>
              </w:rPr>
              <w:t>；规划支路二建</w:t>
            </w:r>
            <w:r>
              <w:rPr>
                <w:color w:val="000000" w:themeColor="text1"/>
                <w:spacing w:val="-2"/>
                <w:u w:val="none" w:color="auto"/>
                <w14:textFill>
                  <w14:solidFill>
                    <w14:schemeClr w14:val="tx1"/>
                  </w14:solidFill>
                </w14:textFill>
              </w:rPr>
              <w:t>设</w:t>
            </w:r>
            <w:r>
              <w:rPr>
                <w:color w:val="000000" w:themeColor="text1"/>
                <w:spacing w:val="-33"/>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总</w:t>
            </w:r>
            <w:r>
              <w:rPr>
                <w:color w:val="000000" w:themeColor="text1"/>
                <w:spacing w:val="-45"/>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长度272</w:t>
            </w:r>
            <w:r>
              <w:rPr>
                <w:color w:val="000000" w:themeColor="text1"/>
                <w:spacing w:val="-44"/>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米，</w:t>
            </w:r>
            <w:r>
              <w:rPr>
                <w:color w:val="000000" w:themeColor="text1"/>
                <w:spacing w:val="-43"/>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红</w:t>
            </w:r>
            <w:r>
              <w:rPr>
                <w:color w:val="000000" w:themeColor="text1"/>
                <w:spacing w:val="-37"/>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线</w:t>
            </w:r>
            <w:r>
              <w:rPr>
                <w:color w:val="000000" w:themeColor="text1"/>
                <w:spacing w:val="-43"/>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宽30</w:t>
            </w:r>
            <w:r>
              <w:rPr>
                <w:color w:val="000000" w:themeColor="text1"/>
                <w:spacing w:val="-44"/>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米，</w:t>
            </w:r>
            <w:r>
              <w:rPr>
                <w:color w:val="000000" w:themeColor="text1"/>
                <w:spacing w:val="-32"/>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总</w:t>
            </w:r>
            <w:r>
              <w:rPr>
                <w:color w:val="000000" w:themeColor="text1"/>
                <w:spacing w:val="-44"/>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用地</w:t>
            </w:r>
            <w:r>
              <w:rPr>
                <w:color w:val="000000" w:themeColor="text1"/>
                <w:spacing w:val="-39"/>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面</w:t>
            </w:r>
            <w:r>
              <w:rPr>
                <w:color w:val="000000" w:themeColor="text1"/>
                <w:spacing w:val="-40"/>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积</w:t>
            </w:r>
            <w:r>
              <w:rPr>
                <w:color w:val="000000" w:themeColor="text1"/>
                <w:spacing w:val="3"/>
                <w:u w:val="none" w:color="auto"/>
                <w14:textFill>
                  <w14:solidFill>
                    <w14:schemeClr w14:val="tx1"/>
                  </w14:solidFill>
                </w14:textFill>
              </w:rPr>
              <w:t>5663.72平方米，配套建设污水、雨水、给水管</w:t>
            </w:r>
            <w:r>
              <w:rPr>
                <w:color w:val="000000" w:themeColor="text1"/>
                <w:spacing w:val="6"/>
                <w:u w:val="none" w:color="auto"/>
                <w14:textFill>
                  <w14:solidFill>
                    <w14:schemeClr w14:val="tx1"/>
                  </w14:solidFill>
                </w14:textFill>
              </w:rPr>
              <w:t>网272米，绿化带面积1554.38平方米，安装路</w:t>
            </w:r>
            <w:r>
              <w:rPr>
                <w:color w:val="000000" w:themeColor="text1"/>
                <w:spacing w:val="-2"/>
                <w:u w:val="none" w:color="auto"/>
                <w14:textFill>
                  <w14:solidFill>
                    <w14:schemeClr w14:val="tx1"/>
                  </w14:solidFill>
                </w14:textFill>
              </w:rPr>
              <w:t>灯14盏。</w:t>
            </w:r>
          </w:p>
        </w:tc>
        <w:tc>
          <w:tcPr>
            <w:tcW w:w="1619" w:type="pct"/>
            <w:gridSpan w:val="5"/>
            <w:vAlign w:val="top"/>
          </w:tcPr>
          <w:p w14:paraId="3C899169">
            <w:pPr>
              <w:spacing w:line="330" w:lineRule="auto"/>
              <w:rPr>
                <w:rFonts w:ascii="Arial"/>
                <w:color w:val="000000" w:themeColor="text1"/>
                <w:sz w:val="21"/>
                <w:u w:val="none" w:color="auto"/>
                <w14:textFill>
                  <w14:solidFill>
                    <w14:schemeClr w14:val="tx1"/>
                  </w14:solidFill>
                </w14:textFill>
              </w:rPr>
            </w:pPr>
          </w:p>
          <w:p w14:paraId="1CC20422">
            <w:pPr>
              <w:spacing w:line="330" w:lineRule="auto"/>
              <w:rPr>
                <w:rFonts w:ascii="Arial"/>
                <w:color w:val="000000" w:themeColor="text1"/>
                <w:sz w:val="21"/>
                <w:u w:val="none" w:color="auto"/>
                <w14:textFill>
                  <w14:solidFill>
                    <w14:schemeClr w14:val="tx1"/>
                  </w14:solidFill>
                </w14:textFill>
              </w:rPr>
            </w:pPr>
          </w:p>
          <w:p w14:paraId="6AE6EF05">
            <w:pPr>
              <w:pStyle w:val="30"/>
              <w:spacing w:before="65" w:line="201" w:lineRule="auto"/>
              <w:ind w:left="145"/>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绩效目标总体达标，部分指</w:t>
            </w:r>
          </w:p>
          <w:p w14:paraId="02632B2D">
            <w:pPr>
              <w:pStyle w:val="30"/>
              <w:spacing w:before="1" w:line="232" w:lineRule="auto"/>
              <w:ind w:left="637"/>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标有待提升。</w:t>
            </w:r>
          </w:p>
        </w:tc>
      </w:tr>
      <w:tr w14:paraId="0ABEF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39" w:hRule="atLeast"/>
        </w:trPr>
        <w:tc>
          <w:tcPr>
            <w:tcW w:w="421" w:type="pct"/>
            <w:vAlign w:val="top"/>
          </w:tcPr>
          <w:p w14:paraId="39F7B5A9">
            <w:pPr>
              <w:spacing w:line="392" w:lineRule="auto"/>
              <w:rPr>
                <w:rFonts w:ascii="Arial"/>
                <w:color w:val="000000" w:themeColor="text1"/>
                <w:sz w:val="21"/>
                <w:u w:val="none" w:color="auto"/>
                <w14:textFill>
                  <w14:solidFill>
                    <w14:schemeClr w14:val="tx1"/>
                  </w14:solidFill>
                </w14:textFill>
              </w:rPr>
            </w:pPr>
          </w:p>
          <w:p w14:paraId="7F5A81EF">
            <w:pPr>
              <w:pStyle w:val="30"/>
              <w:spacing w:before="65" w:line="218" w:lineRule="auto"/>
              <w:ind w:left="219" w:right="20" w:hanging="172"/>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绩效指</w:t>
            </w:r>
            <w:r>
              <w:rPr>
                <w:color w:val="000000" w:themeColor="text1"/>
                <w:u w:val="none" w:color="auto"/>
                <w14:textFill>
                  <w14:solidFill>
                    <w14:schemeClr w14:val="tx1"/>
                  </w14:solidFill>
                </w14:textFill>
              </w:rPr>
              <w:t>标</w:t>
            </w:r>
          </w:p>
        </w:tc>
        <w:tc>
          <w:tcPr>
            <w:tcW w:w="348" w:type="pct"/>
            <w:vAlign w:val="top"/>
          </w:tcPr>
          <w:p w14:paraId="398C7BD4">
            <w:pPr>
              <w:spacing w:line="392" w:lineRule="auto"/>
              <w:rPr>
                <w:rFonts w:ascii="Arial"/>
                <w:color w:val="000000" w:themeColor="text1"/>
                <w:sz w:val="21"/>
                <w:u w:val="none" w:color="auto"/>
                <w14:textFill>
                  <w14:solidFill>
                    <w14:schemeClr w14:val="tx1"/>
                  </w14:solidFill>
                </w14:textFill>
              </w:rPr>
            </w:pPr>
          </w:p>
          <w:p w14:paraId="4A465BF7">
            <w:pPr>
              <w:pStyle w:val="30"/>
              <w:spacing w:before="65" w:line="218" w:lineRule="auto"/>
              <w:ind w:left="79" w:right="59" w:firstLine="8"/>
              <w:rPr>
                <w:color w:val="000000" w:themeColor="text1"/>
                <w:u w:val="none" w:color="auto"/>
                <w14:textFill>
                  <w14:solidFill>
                    <w14:schemeClr w14:val="tx1"/>
                  </w14:solidFill>
                </w14:textFill>
              </w:rPr>
            </w:pPr>
            <w:r>
              <w:rPr>
                <w:color w:val="000000" w:themeColor="text1"/>
                <w:spacing w:val="-11"/>
                <w:u w:val="none" w:color="auto"/>
                <w14:textFill>
                  <w14:solidFill>
                    <w14:schemeClr w14:val="tx1"/>
                  </w14:solidFill>
                </w14:textFill>
              </w:rPr>
              <w:t>一级</w:t>
            </w:r>
            <w:r>
              <w:rPr>
                <w:color w:val="000000" w:themeColor="text1"/>
                <w:spacing w:val="-6"/>
                <w:u w:val="none" w:color="auto"/>
                <w14:textFill>
                  <w14:solidFill>
                    <w14:schemeClr w14:val="tx1"/>
                  </w14:solidFill>
                </w14:textFill>
              </w:rPr>
              <w:t>指标</w:t>
            </w:r>
          </w:p>
        </w:tc>
        <w:tc>
          <w:tcPr>
            <w:tcW w:w="584" w:type="pct"/>
            <w:vAlign w:val="top"/>
          </w:tcPr>
          <w:p w14:paraId="35AB5888">
            <w:pPr>
              <w:spacing w:line="250" w:lineRule="auto"/>
              <w:rPr>
                <w:rFonts w:ascii="Arial"/>
                <w:color w:val="000000" w:themeColor="text1"/>
                <w:sz w:val="21"/>
                <w:u w:val="none" w:color="auto"/>
                <w14:textFill>
                  <w14:solidFill>
                    <w14:schemeClr w14:val="tx1"/>
                  </w14:solidFill>
                </w14:textFill>
              </w:rPr>
            </w:pPr>
          </w:p>
          <w:p w14:paraId="0664EF78">
            <w:pPr>
              <w:spacing w:line="251" w:lineRule="auto"/>
              <w:rPr>
                <w:rFonts w:ascii="Arial"/>
                <w:color w:val="000000" w:themeColor="text1"/>
                <w:sz w:val="21"/>
                <w:u w:val="none" w:color="auto"/>
                <w14:textFill>
                  <w14:solidFill>
                    <w14:schemeClr w14:val="tx1"/>
                  </w14:solidFill>
                </w14:textFill>
              </w:rPr>
            </w:pPr>
          </w:p>
          <w:p w14:paraId="41A116AF">
            <w:pPr>
              <w:pStyle w:val="30"/>
              <w:spacing w:before="65" w:line="233" w:lineRule="auto"/>
              <w:ind w:left="77"/>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二级指标</w:t>
            </w:r>
          </w:p>
        </w:tc>
        <w:tc>
          <w:tcPr>
            <w:tcW w:w="1025" w:type="pct"/>
            <w:vAlign w:val="top"/>
          </w:tcPr>
          <w:p w14:paraId="7A401DC0">
            <w:pPr>
              <w:spacing w:line="250" w:lineRule="auto"/>
              <w:rPr>
                <w:rFonts w:ascii="Arial"/>
                <w:color w:val="000000" w:themeColor="text1"/>
                <w:sz w:val="21"/>
                <w:u w:val="none" w:color="auto"/>
                <w14:textFill>
                  <w14:solidFill>
                    <w14:schemeClr w14:val="tx1"/>
                  </w14:solidFill>
                </w14:textFill>
              </w:rPr>
            </w:pPr>
          </w:p>
          <w:p w14:paraId="587E7E49">
            <w:pPr>
              <w:spacing w:line="251" w:lineRule="auto"/>
              <w:rPr>
                <w:rFonts w:ascii="Arial"/>
                <w:color w:val="000000" w:themeColor="text1"/>
                <w:sz w:val="21"/>
                <w:u w:val="none" w:color="auto"/>
                <w14:textFill>
                  <w14:solidFill>
                    <w14:schemeClr w14:val="tx1"/>
                  </w14:solidFill>
                </w14:textFill>
              </w:rPr>
            </w:pPr>
          </w:p>
          <w:p w14:paraId="5964BFC9">
            <w:pPr>
              <w:pStyle w:val="30"/>
              <w:spacing w:before="65" w:line="233" w:lineRule="auto"/>
              <w:ind w:left="398"/>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三级指标</w:t>
            </w:r>
          </w:p>
        </w:tc>
        <w:tc>
          <w:tcPr>
            <w:tcW w:w="305" w:type="pct"/>
            <w:vAlign w:val="top"/>
          </w:tcPr>
          <w:p w14:paraId="57A90878">
            <w:pPr>
              <w:spacing w:line="390" w:lineRule="auto"/>
              <w:rPr>
                <w:rFonts w:ascii="Arial"/>
                <w:color w:val="000000" w:themeColor="text1"/>
                <w:sz w:val="21"/>
                <w:u w:val="none" w:color="auto"/>
                <w14:textFill>
                  <w14:solidFill>
                    <w14:schemeClr w14:val="tx1"/>
                  </w14:solidFill>
                </w14:textFill>
              </w:rPr>
            </w:pPr>
          </w:p>
          <w:p w14:paraId="0FCFB911">
            <w:pPr>
              <w:pStyle w:val="30"/>
              <w:spacing w:before="65" w:line="219" w:lineRule="auto"/>
              <w:ind w:left="60" w:right="22" w:hanging="6"/>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指标</w:t>
            </w:r>
            <w:r>
              <w:rPr>
                <w:color w:val="000000" w:themeColor="text1"/>
                <w:spacing w:val="-9"/>
                <w:u w:val="none" w:color="auto"/>
                <w14:textFill>
                  <w14:solidFill>
                    <w14:schemeClr w14:val="tx1"/>
                  </w14:solidFill>
                </w14:textFill>
              </w:rPr>
              <w:t>性质</w:t>
            </w:r>
          </w:p>
        </w:tc>
        <w:tc>
          <w:tcPr>
            <w:tcW w:w="357" w:type="pct"/>
            <w:vAlign w:val="top"/>
          </w:tcPr>
          <w:p w14:paraId="32A2EE1B">
            <w:pPr>
              <w:spacing w:line="390" w:lineRule="auto"/>
              <w:rPr>
                <w:rFonts w:ascii="Arial"/>
                <w:color w:val="000000" w:themeColor="text1"/>
                <w:sz w:val="21"/>
                <w:u w:val="none" w:color="auto"/>
                <w14:textFill>
                  <w14:solidFill>
                    <w14:schemeClr w14:val="tx1"/>
                  </w14:solidFill>
                </w14:textFill>
              </w:rPr>
            </w:pPr>
          </w:p>
          <w:p w14:paraId="287E81E6">
            <w:pPr>
              <w:pStyle w:val="30"/>
              <w:spacing w:before="65" w:line="219" w:lineRule="auto"/>
              <w:ind w:left="94" w:right="60" w:hanging="4"/>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指标</w:t>
            </w:r>
            <w:r>
              <w:rPr>
                <w:color w:val="000000" w:themeColor="text1"/>
                <w:spacing w:val="-8"/>
                <w:u w:val="none" w:color="auto"/>
                <w14:textFill>
                  <w14:solidFill>
                    <w14:schemeClr w14:val="tx1"/>
                  </w14:solidFill>
                </w14:textFill>
              </w:rPr>
              <w:t>方向</w:t>
            </w:r>
          </w:p>
        </w:tc>
        <w:tc>
          <w:tcPr>
            <w:tcW w:w="338" w:type="pct"/>
            <w:vAlign w:val="top"/>
          </w:tcPr>
          <w:p w14:paraId="2F93FBA2">
            <w:pPr>
              <w:spacing w:line="284" w:lineRule="auto"/>
              <w:rPr>
                <w:rFonts w:ascii="Arial"/>
                <w:color w:val="000000" w:themeColor="text1"/>
                <w:sz w:val="21"/>
                <w:u w:val="none" w:color="auto"/>
                <w14:textFill>
                  <w14:solidFill>
                    <w14:schemeClr w14:val="tx1"/>
                  </w14:solidFill>
                </w14:textFill>
              </w:rPr>
            </w:pPr>
          </w:p>
          <w:p w14:paraId="069803C2">
            <w:pPr>
              <w:pStyle w:val="30"/>
              <w:spacing w:before="65" w:line="213" w:lineRule="auto"/>
              <w:ind w:left="79" w:right="44" w:hanging="1"/>
              <w:jc w:val="both"/>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年度</w:t>
            </w:r>
            <w:r>
              <w:rPr>
                <w:color w:val="000000" w:themeColor="text1"/>
                <w:spacing w:val="-6"/>
                <w:u w:val="none" w:color="auto"/>
                <w14:textFill>
                  <w14:solidFill>
                    <w14:schemeClr w14:val="tx1"/>
                  </w14:solidFill>
                </w14:textFill>
              </w:rPr>
              <w:t>指标</w:t>
            </w:r>
            <w:r>
              <w:rPr>
                <w:color w:val="000000" w:themeColor="text1"/>
                <w:spacing w:val="32"/>
                <w:w w:val="125"/>
                <w:u w:val="none" w:color="auto"/>
                <w14:textFill>
                  <w14:solidFill>
                    <w14:schemeClr w14:val="tx1"/>
                  </w14:solidFill>
                </w14:textFill>
              </w:rPr>
              <w:t>值</w:t>
            </w:r>
          </w:p>
        </w:tc>
        <w:tc>
          <w:tcPr>
            <w:tcW w:w="397" w:type="pct"/>
            <w:vAlign w:val="top"/>
          </w:tcPr>
          <w:p w14:paraId="4BAF162A">
            <w:pPr>
              <w:spacing w:line="284" w:lineRule="auto"/>
              <w:rPr>
                <w:rFonts w:ascii="Arial"/>
                <w:color w:val="000000" w:themeColor="text1"/>
                <w:sz w:val="21"/>
                <w:u w:val="none" w:color="auto"/>
                <w14:textFill>
                  <w14:solidFill>
                    <w14:schemeClr w14:val="tx1"/>
                  </w14:solidFill>
                </w14:textFill>
              </w:rPr>
            </w:pPr>
          </w:p>
          <w:p w14:paraId="2E47D1DC">
            <w:pPr>
              <w:pStyle w:val="30"/>
              <w:spacing w:before="65" w:line="213" w:lineRule="auto"/>
              <w:ind w:left="131" w:right="86" w:firstLine="1"/>
              <w:jc w:val="both"/>
              <w:rPr>
                <w:color w:val="000000" w:themeColor="text1"/>
                <w:u w:val="none" w:color="auto"/>
                <w14:textFill>
                  <w14:solidFill>
                    <w14:schemeClr w14:val="tx1"/>
                  </w14:solidFill>
                </w14:textFill>
              </w:rPr>
            </w:pPr>
            <w:r>
              <w:rPr>
                <w:color w:val="000000" w:themeColor="text1"/>
                <w:spacing w:val="-10"/>
                <w:u w:val="none" w:color="auto"/>
                <w14:textFill>
                  <w14:solidFill>
                    <w14:schemeClr w14:val="tx1"/>
                  </w14:solidFill>
                </w14:textFill>
              </w:rPr>
              <w:t>实际</w:t>
            </w:r>
            <w:r>
              <w:rPr>
                <w:color w:val="000000" w:themeColor="text1"/>
                <w:spacing w:val="-9"/>
                <w:u w:val="none" w:color="auto"/>
                <w14:textFill>
                  <w14:solidFill>
                    <w14:schemeClr w14:val="tx1"/>
                  </w14:solidFill>
                </w14:textFill>
              </w:rPr>
              <w:t>完成</w:t>
            </w:r>
            <w:r>
              <w:rPr>
                <w:color w:val="000000" w:themeColor="text1"/>
                <w:spacing w:val="26"/>
                <w:w w:val="125"/>
                <w:u w:val="none" w:color="auto"/>
                <w14:textFill>
                  <w14:solidFill>
                    <w14:schemeClr w14:val="tx1"/>
                  </w14:solidFill>
                </w14:textFill>
              </w:rPr>
              <w:t>值</w:t>
            </w:r>
          </w:p>
        </w:tc>
        <w:tc>
          <w:tcPr>
            <w:tcW w:w="305" w:type="pct"/>
            <w:vAlign w:val="top"/>
          </w:tcPr>
          <w:p w14:paraId="3D1B6941">
            <w:pPr>
              <w:spacing w:line="392" w:lineRule="auto"/>
              <w:rPr>
                <w:rFonts w:ascii="Arial"/>
                <w:color w:val="000000" w:themeColor="text1"/>
                <w:sz w:val="21"/>
                <w:u w:val="none" w:color="auto"/>
                <w14:textFill>
                  <w14:solidFill>
                    <w14:schemeClr w14:val="tx1"/>
                  </w14:solidFill>
                </w14:textFill>
              </w:rPr>
            </w:pPr>
          </w:p>
          <w:p w14:paraId="147AD452">
            <w:pPr>
              <w:pStyle w:val="30"/>
              <w:spacing w:before="65" w:line="217" w:lineRule="auto"/>
              <w:ind w:left="60" w:right="18"/>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计量</w:t>
            </w:r>
            <w:r>
              <w:rPr>
                <w:color w:val="000000" w:themeColor="text1"/>
                <w:spacing w:val="-8"/>
                <w:u w:val="none" w:color="auto"/>
                <w14:textFill>
                  <w14:solidFill>
                    <w14:schemeClr w14:val="tx1"/>
                  </w14:solidFill>
                </w14:textFill>
              </w:rPr>
              <w:t>单位</w:t>
            </w:r>
          </w:p>
        </w:tc>
        <w:tc>
          <w:tcPr>
            <w:tcW w:w="288" w:type="pct"/>
            <w:vAlign w:val="top"/>
          </w:tcPr>
          <w:p w14:paraId="70982BDC">
            <w:pPr>
              <w:spacing w:line="250" w:lineRule="auto"/>
              <w:rPr>
                <w:rFonts w:ascii="Arial"/>
                <w:color w:val="000000" w:themeColor="text1"/>
                <w:sz w:val="21"/>
                <w:u w:val="none" w:color="auto"/>
                <w14:textFill>
                  <w14:solidFill>
                    <w14:schemeClr w14:val="tx1"/>
                  </w14:solidFill>
                </w14:textFill>
              </w:rPr>
            </w:pPr>
          </w:p>
          <w:p w14:paraId="3A37617C">
            <w:pPr>
              <w:spacing w:line="251" w:lineRule="auto"/>
              <w:rPr>
                <w:rFonts w:ascii="Arial"/>
                <w:color w:val="000000" w:themeColor="text1"/>
                <w:sz w:val="21"/>
                <w:u w:val="none" w:color="auto"/>
                <w14:textFill>
                  <w14:solidFill>
                    <w14:schemeClr w14:val="tx1"/>
                  </w14:solidFill>
                </w14:textFill>
              </w:rPr>
            </w:pPr>
          </w:p>
          <w:p w14:paraId="3D8CCFC7">
            <w:pPr>
              <w:pStyle w:val="30"/>
              <w:spacing w:before="65" w:line="235" w:lineRule="auto"/>
              <w:ind w:right="5"/>
              <w:jc w:val="right"/>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分值</w:t>
            </w:r>
          </w:p>
        </w:tc>
        <w:tc>
          <w:tcPr>
            <w:tcW w:w="272" w:type="pct"/>
            <w:textDirection w:val="tbRlV"/>
            <w:vAlign w:val="top"/>
          </w:tcPr>
          <w:p w14:paraId="68266E3D">
            <w:pPr>
              <w:pStyle w:val="30"/>
              <w:spacing w:before="84" w:line="203" w:lineRule="auto"/>
              <w:ind w:left="459"/>
              <w:rPr>
                <w:color w:val="000000" w:themeColor="text1"/>
                <w:u w:val="none" w:color="auto"/>
                <w14:textFill>
                  <w14:solidFill>
                    <w14:schemeClr w14:val="tx1"/>
                  </w14:solidFill>
                </w14:textFill>
              </w:rPr>
            </w:pPr>
            <w:r>
              <w:rPr>
                <w:color w:val="000000" w:themeColor="text1"/>
                <w:spacing w:val="30"/>
                <w:u w:val="none" w:color="auto"/>
                <w14:textFill>
                  <w14:solidFill>
                    <w14:schemeClr w14:val="tx1"/>
                  </w14:solidFill>
                </w14:textFill>
              </w:rPr>
              <w:t>得分</w:t>
            </w:r>
          </w:p>
        </w:tc>
        <w:tc>
          <w:tcPr>
            <w:tcW w:w="355" w:type="pct"/>
            <w:vAlign w:val="top"/>
          </w:tcPr>
          <w:p w14:paraId="309E04C5">
            <w:pPr>
              <w:pStyle w:val="30"/>
              <w:spacing w:before="19" w:line="204" w:lineRule="auto"/>
              <w:ind w:left="90"/>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偏差</w:t>
            </w:r>
          </w:p>
          <w:p w14:paraId="3AA3ABE5">
            <w:pPr>
              <w:pStyle w:val="30"/>
              <w:spacing w:line="200" w:lineRule="auto"/>
              <w:ind w:left="93"/>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原因</w:t>
            </w:r>
          </w:p>
          <w:p w14:paraId="189AB4CE">
            <w:pPr>
              <w:pStyle w:val="30"/>
              <w:spacing w:line="203" w:lineRule="auto"/>
              <w:ind w:left="91"/>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分析</w:t>
            </w:r>
          </w:p>
          <w:p w14:paraId="58B0B727">
            <w:pPr>
              <w:pStyle w:val="30"/>
              <w:spacing w:line="203" w:lineRule="auto"/>
              <w:ind w:left="89"/>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及改</w:t>
            </w:r>
          </w:p>
          <w:p w14:paraId="1EAD66F2">
            <w:pPr>
              <w:pStyle w:val="30"/>
              <w:spacing w:before="1" w:line="197" w:lineRule="auto"/>
              <w:ind w:left="182" w:right="56" w:hanging="94"/>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进措</w:t>
            </w:r>
            <w:r>
              <w:rPr>
                <w:color w:val="000000" w:themeColor="text1"/>
                <w:u w:val="none" w:color="auto"/>
                <w14:textFill>
                  <w14:solidFill>
                    <w14:schemeClr w14:val="tx1"/>
                  </w14:solidFill>
                </w14:textFill>
              </w:rPr>
              <w:t>施</w:t>
            </w:r>
          </w:p>
        </w:tc>
      </w:tr>
      <w:tr w14:paraId="3B4B3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421" w:type="pct"/>
            <w:vMerge w:val="restart"/>
            <w:tcBorders>
              <w:bottom w:val="nil"/>
            </w:tcBorders>
            <w:vAlign w:val="top"/>
          </w:tcPr>
          <w:p w14:paraId="2D96F5A3">
            <w:pPr>
              <w:spacing w:line="265" w:lineRule="auto"/>
              <w:rPr>
                <w:rFonts w:ascii="Arial"/>
                <w:color w:val="000000" w:themeColor="text1"/>
                <w:sz w:val="21"/>
                <w:u w:val="none" w:color="auto"/>
                <w14:textFill>
                  <w14:solidFill>
                    <w14:schemeClr w14:val="tx1"/>
                  </w14:solidFill>
                </w14:textFill>
              </w:rPr>
            </w:pPr>
          </w:p>
          <w:p w14:paraId="40DFDAD2">
            <w:pPr>
              <w:spacing w:line="265" w:lineRule="auto"/>
              <w:rPr>
                <w:rFonts w:ascii="Arial"/>
                <w:color w:val="000000" w:themeColor="text1"/>
                <w:sz w:val="21"/>
                <w:u w:val="none" w:color="auto"/>
                <w14:textFill>
                  <w14:solidFill>
                    <w14:schemeClr w14:val="tx1"/>
                  </w14:solidFill>
                </w14:textFill>
              </w:rPr>
            </w:pPr>
          </w:p>
          <w:p w14:paraId="6AB3F218">
            <w:pPr>
              <w:spacing w:line="265" w:lineRule="auto"/>
              <w:rPr>
                <w:rFonts w:ascii="Arial"/>
                <w:color w:val="000000" w:themeColor="text1"/>
                <w:sz w:val="21"/>
                <w:u w:val="none" w:color="auto"/>
                <w14:textFill>
                  <w14:solidFill>
                    <w14:schemeClr w14:val="tx1"/>
                  </w14:solidFill>
                </w14:textFill>
              </w:rPr>
            </w:pPr>
          </w:p>
          <w:p w14:paraId="441FA912">
            <w:pPr>
              <w:spacing w:line="265" w:lineRule="auto"/>
              <w:rPr>
                <w:rFonts w:ascii="Arial"/>
                <w:color w:val="000000" w:themeColor="text1"/>
                <w:sz w:val="21"/>
                <w:u w:val="none" w:color="auto"/>
                <w14:textFill>
                  <w14:solidFill>
                    <w14:schemeClr w14:val="tx1"/>
                  </w14:solidFill>
                </w14:textFill>
              </w:rPr>
            </w:pPr>
          </w:p>
          <w:p w14:paraId="1A26E04E">
            <w:pPr>
              <w:spacing w:line="265" w:lineRule="auto"/>
              <w:rPr>
                <w:rFonts w:ascii="Arial"/>
                <w:color w:val="000000" w:themeColor="text1"/>
                <w:sz w:val="21"/>
                <w:u w:val="none" w:color="auto"/>
                <w14:textFill>
                  <w14:solidFill>
                    <w14:schemeClr w14:val="tx1"/>
                  </w14:solidFill>
                </w14:textFill>
              </w:rPr>
            </w:pPr>
          </w:p>
          <w:p w14:paraId="2E57AB38">
            <w:pPr>
              <w:spacing w:line="265" w:lineRule="auto"/>
              <w:rPr>
                <w:rFonts w:ascii="Arial"/>
                <w:color w:val="000000" w:themeColor="text1"/>
                <w:sz w:val="21"/>
                <w:u w:val="none" w:color="auto"/>
                <w14:textFill>
                  <w14:solidFill>
                    <w14:schemeClr w14:val="tx1"/>
                  </w14:solidFill>
                </w14:textFill>
              </w:rPr>
            </w:pPr>
          </w:p>
          <w:p w14:paraId="40FC50FB">
            <w:pPr>
              <w:spacing w:line="265" w:lineRule="auto"/>
              <w:rPr>
                <w:rFonts w:ascii="Arial"/>
                <w:color w:val="000000" w:themeColor="text1"/>
                <w:sz w:val="21"/>
                <w:u w:val="none" w:color="auto"/>
                <w14:textFill>
                  <w14:solidFill>
                    <w14:schemeClr w14:val="tx1"/>
                  </w14:solidFill>
                </w14:textFill>
              </w:rPr>
            </w:pPr>
          </w:p>
          <w:p w14:paraId="3698B435">
            <w:pPr>
              <w:spacing w:line="265" w:lineRule="auto"/>
              <w:rPr>
                <w:rFonts w:ascii="Arial"/>
                <w:color w:val="000000" w:themeColor="text1"/>
                <w:sz w:val="21"/>
                <w:u w:val="none" w:color="auto"/>
                <w14:textFill>
                  <w14:solidFill>
                    <w14:schemeClr w14:val="tx1"/>
                  </w14:solidFill>
                </w14:textFill>
              </w:rPr>
            </w:pPr>
          </w:p>
          <w:p w14:paraId="06B63E81">
            <w:pPr>
              <w:pStyle w:val="30"/>
              <w:spacing w:before="65" w:line="217" w:lineRule="auto"/>
              <w:ind w:left="219" w:right="20" w:hanging="172"/>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绩效指</w:t>
            </w:r>
            <w:r>
              <w:rPr>
                <w:color w:val="000000" w:themeColor="text1"/>
                <w:u w:val="none" w:color="auto"/>
                <w14:textFill>
                  <w14:solidFill>
                    <w14:schemeClr w14:val="tx1"/>
                  </w14:solidFill>
                </w14:textFill>
              </w:rPr>
              <w:t>标</w:t>
            </w:r>
          </w:p>
        </w:tc>
        <w:tc>
          <w:tcPr>
            <w:tcW w:w="348" w:type="pct"/>
            <w:vMerge w:val="restart"/>
            <w:tcBorders>
              <w:bottom w:val="nil"/>
            </w:tcBorders>
            <w:vAlign w:val="top"/>
          </w:tcPr>
          <w:p w14:paraId="26CEFA6F">
            <w:pPr>
              <w:spacing w:line="267" w:lineRule="auto"/>
              <w:rPr>
                <w:rFonts w:ascii="Arial"/>
                <w:color w:val="000000" w:themeColor="text1"/>
                <w:sz w:val="21"/>
                <w:u w:val="none" w:color="auto"/>
                <w14:textFill>
                  <w14:solidFill>
                    <w14:schemeClr w14:val="tx1"/>
                  </w14:solidFill>
                </w14:textFill>
              </w:rPr>
            </w:pPr>
          </w:p>
          <w:p w14:paraId="7D3F7C80">
            <w:pPr>
              <w:spacing w:line="267" w:lineRule="auto"/>
              <w:rPr>
                <w:rFonts w:ascii="Arial"/>
                <w:color w:val="000000" w:themeColor="text1"/>
                <w:sz w:val="21"/>
                <w:u w:val="none" w:color="auto"/>
                <w14:textFill>
                  <w14:solidFill>
                    <w14:schemeClr w14:val="tx1"/>
                  </w14:solidFill>
                </w14:textFill>
              </w:rPr>
            </w:pPr>
          </w:p>
          <w:p w14:paraId="6DA04060">
            <w:pPr>
              <w:spacing w:line="267" w:lineRule="auto"/>
              <w:rPr>
                <w:rFonts w:ascii="Arial"/>
                <w:color w:val="000000" w:themeColor="text1"/>
                <w:sz w:val="21"/>
                <w:u w:val="none" w:color="auto"/>
                <w14:textFill>
                  <w14:solidFill>
                    <w14:schemeClr w14:val="tx1"/>
                  </w14:solidFill>
                </w14:textFill>
              </w:rPr>
            </w:pPr>
          </w:p>
          <w:p w14:paraId="6DB92A71">
            <w:pPr>
              <w:spacing w:line="267" w:lineRule="auto"/>
              <w:rPr>
                <w:rFonts w:ascii="Arial"/>
                <w:color w:val="000000" w:themeColor="text1"/>
                <w:sz w:val="21"/>
                <w:u w:val="none" w:color="auto"/>
                <w14:textFill>
                  <w14:solidFill>
                    <w14:schemeClr w14:val="tx1"/>
                  </w14:solidFill>
                </w14:textFill>
              </w:rPr>
            </w:pPr>
          </w:p>
          <w:p w14:paraId="270B96F9">
            <w:pPr>
              <w:spacing w:line="268" w:lineRule="auto"/>
              <w:rPr>
                <w:rFonts w:ascii="Arial"/>
                <w:color w:val="000000" w:themeColor="text1"/>
                <w:sz w:val="21"/>
                <w:u w:val="none" w:color="auto"/>
                <w14:textFill>
                  <w14:solidFill>
                    <w14:schemeClr w14:val="tx1"/>
                  </w14:solidFill>
                </w14:textFill>
              </w:rPr>
            </w:pPr>
          </w:p>
          <w:p w14:paraId="4F925054">
            <w:pPr>
              <w:pStyle w:val="30"/>
              <w:spacing w:before="65" w:line="218" w:lineRule="auto"/>
              <w:ind w:left="79" w:right="59"/>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产出指标</w:t>
            </w:r>
          </w:p>
        </w:tc>
        <w:tc>
          <w:tcPr>
            <w:tcW w:w="584" w:type="pct"/>
            <w:vMerge w:val="restart"/>
            <w:tcBorders>
              <w:bottom w:val="nil"/>
            </w:tcBorders>
            <w:vAlign w:val="top"/>
          </w:tcPr>
          <w:p w14:paraId="6CC59252">
            <w:pPr>
              <w:pStyle w:val="30"/>
              <w:spacing w:before="166" w:line="233" w:lineRule="auto"/>
              <w:ind w:left="73"/>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数量指标</w:t>
            </w:r>
          </w:p>
        </w:tc>
        <w:tc>
          <w:tcPr>
            <w:tcW w:w="1025" w:type="pct"/>
            <w:vAlign w:val="top"/>
          </w:tcPr>
          <w:p w14:paraId="04888166">
            <w:pPr>
              <w:pStyle w:val="30"/>
              <w:spacing w:before="28" w:line="200" w:lineRule="auto"/>
              <w:ind w:left="388"/>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道路全长</w:t>
            </w:r>
          </w:p>
        </w:tc>
        <w:tc>
          <w:tcPr>
            <w:tcW w:w="305" w:type="pct"/>
            <w:vAlign w:val="top"/>
          </w:tcPr>
          <w:p w14:paraId="75014AA4">
            <w:pPr>
              <w:pStyle w:val="30"/>
              <w:spacing w:before="28" w:line="200" w:lineRule="auto"/>
              <w:ind w:left="60"/>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正向</w:t>
            </w:r>
          </w:p>
        </w:tc>
        <w:tc>
          <w:tcPr>
            <w:tcW w:w="357" w:type="pct"/>
            <w:vAlign w:val="top"/>
          </w:tcPr>
          <w:p w14:paraId="02410577">
            <w:pPr>
              <w:pStyle w:val="30"/>
              <w:spacing w:before="28" w:line="200" w:lineRule="auto"/>
              <w:ind w:left="9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等于</w:t>
            </w:r>
          </w:p>
        </w:tc>
        <w:tc>
          <w:tcPr>
            <w:tcW w:w="338" w:type="pct"/>
            <w:vAlign w:val="top"/>
          </w:tcPr>
          <w:p w14:paraId="6F22F4FD">
            <w:pPr>
              <w:pStyle w:val="30"/>
              <w:spacing w:before="28" w:line="200" w:lineRule="auto"/>
              <w:ind w:left="82"/>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1652</w:t>
            </w:r>
          </w:p>
        </w:tc>
        <w:tc>
          <w:tcPr>
            <w:tcW w:w="397" w:type="pct"/>
            <w:vAlign w:val="top"/>
          </w:tcPr>
          <w:p w14:paraId="073CB57A">
            <w:pPr>
              <w:pStyle w:val="30"/>
              <w:spacing w:before="28" w:line="200" w:lineRule="auto"/>
              <w:ind w:left="127"/>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1652</w:t>
            </w:r>
          </w:p>
        </w:tc>
        <w:tc>
          <w:tcPr>
            <w:tcW w:w="305" w:type="pct"/>
            <w:vAlign w:val="top"/>
          </w:tcPr>
          <w:p w14:paraId="08533A4D">
            <w:pPr>
              <w:pStyle w:val="30"/>
              <w:spacing w:before="28" w:line="200" w:lineRule="auto"/>
              <w:ind w:left="150"/>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米</w:t>
            </w:r>
          </w:p>
        </w:tc>
        <w:tc>
          <w:tcPr>
            <w:tcW w:w="288" w:type="pct"/>
            <w:vAlign w:val="top"/>
          </w:tcPr>
          <w:p w14:paraId="415980C2">
            <w:pPr>
              <w:pStyle w:val="30"/>
              <w:spacing w:before="28" w:line="200" w:lineRule="auto"/>
              <w:ind w:left="138"/>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10</w:t>
            </w:r>
          </w:p>
        </w:tc>
        <w:tc>
          <w:tcPr>
            <w:tcW w:w="272" w:type="pct"/>
            <w:vAlign w:val="top"/>
          </w:tcPr>
          <w:p w14:paraId="02AA67EA">
            <w:pPr>
              <w:pStyle w:val="30"/>
              <w:spacing w:before="28" w:line="200" w:lineRule="auto"/>
              <w:ind w:left="127"/>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10</w:t>
            </w:r>
          </w:p>
        </w:tc>
        <w:tc>
          <w:tcPr>
            <w:tcW w:w="355" w:type="pct"/>
            <w:vAlign w:val="top"/>
          </w:tcPr>
          <w:p w14:paraId="00171440">
            <w:pPr>
              <w:rPr>
                <w:rFonts w:ascii="Arial"/>
                <w:color w:val="000000" w:themeColor="text1"/>
                <w:sz w:val="21"/>
                <w:u w:val="none" w:color="auto"/>
                <w14:textFill>
                  <w14:solidFill>
                    <w14:schemeClr w14:val="tx1"/>
                  </w14:solidFill>
                </w14:textFill>
              </w:rPr>
            </w:pPr>
          </w:p>
        </w:tc>
      </w:tr>
      <w:tr w14:paraId="3EFC2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421" w:type="pct"/>
            <w:vMerge w:val="continue"/>
            <w:tcBorders>
              <w:top w:val="nil"/>
              <w:bottom w:val="nil"/>
            </w:tcBorders>
            <w:vAlign w:val="top"/>
          </w:tcPr>
          <w:p w14:paraId="2390065F">
            <w:pPr>
              <w:rPr>
                <w:rFonts w:ascii="Arial"/>
                <w:color w:val="000000" w:themeColor="text1"/>
                <w:sz w:val="21"/>
                <w:u w:val="none" w:color="auto"/>
                <w14:textFill>
                  <w14:solidFill>
                    <w14:schemeClr w14:val="tx1"/>
                  </w14:solidFill>
                </w14:textFill>
              </w:rPr>
            </w:pPr>
          </w:p>
        </w:tc>
        <w:tc>
          <w:tcPr>
            <w:tcW w:w="348" w:type="pct"/>
            <w:vMerge w:val="continue"/>
            <w:tcBorders>
              <w:top w:val="nil"/>
              <w:bottom w:val="nil"/>
            </w:tcBorders>
            <w:vAlign w:val="top"/>
          </w:tcPr>
          <w:p w14:paraId="28EC6BB6">
            <w:pPr>
              <w:rPr>
                <w:rFonts w:ascii="Arial"/>
                <w:color w:val="000000" w:themeColor="text1"/>
                <w:sz w:val="21"/>
                <w:u w:val="none" w:color="auto"/>
                <w14:textFill>
                  <w14:solidFill>
                    <w14:schemeClr w14:val="tx1"/>
                  </w14:solidFill>
                </w14:textFill>
              </w:rPr>
            </w:pPr>
          </w:p>
        </w:tc>
        <w:tc>
          <w:tcPr>
            <w:tcW w:w="584" w:type="pct"/>
            <w:vMerge w:val="continue"/>
            <w:tcBorders>
              <w:top w:val="nil"/>
            </w:tcBorders>
            <w:vAlign w:val="top"/>
          </w:tcPr>
          <w:p w14:paraId="7694B0BE">
            <w:pPr>
              <w:rPr>
                <w:rFonts w:ascii="Arial"/>
                <w:color w:val="000000" w:themeColor="text1"/>
                <w:sz w:val="21"/>
                <w:u w:val="none" w:color="auto"/>
                <w14:textFill>
                  <w14:solidFill>
                    <w14:schemeClr w14:val="tx1"/>
                  </w14:solidFill>
                </w14:textFill>
              </w:rPr>
            </w:pPr>
          </w:p>
        </w:tc>
        <w:tc>
          <w:tcPr>
            <w:tcW w:w="1025" w:type="pct"/>
            <w:vAlign w:val="top"/>
          </w:tcPr>
          <w:p w14:paraId="64D04E9E">
            <w:pPr>
              <w:pStyle w:val="30"/>
              <w:spacing w:before="28" w:line="200" w:lineRule="auto"/>
              <w:ind w:left="299"/>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道路红线宽</w:t>
            </w:r>
          </w:p>
        </w:tc>
        <w:tc>
          <w:tcPr>
            <w:tcW w:w="305" w:type="pct"/>
            <w:vAlign w:val="top"/>
          </w:tcPr>
          <w:p w14:paraId="16A218D8">
            <w:pPr>
              <w:pStyle w:val="30"/>
              <w:spacing w:before="28" w:line="200" w:lineRule="auto"/>
              <w:ind w:left="60"/>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正向</w:t>
            </w:r>
          </w:p>
        </w:tc>
        <w:tc>
          <w:tcPr>
            <w:tcW w:w="357" w:type="pct"/>
            <w:vAlign w:val="top"/>
          </w:tcPr>
          <w:p w14:paraId="756DA659">
            <w:pPr>
              <w:pStyle w:val="30"/>
              <w:spacing w:before="28" w:line="200" w:lineRule="auto"/>
              <w:ind w:left="9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等于</w:t>
            </w:r>
          </w:p>
        </w:tc>
        <w:tc>
          <w:tcPr>
            <w:tcW w:w="338" w:type="pct"/>
            <w:vAlign w:val="top"/>
          </w:tcPr>
          <w:p w14:paraId="7CB739E0">
            <w:pPr>
              <w:pStyle w:val="30"/>
              <w:spacing w:before="28" w:line="200" w:lineRule="auto"/>
              <w:ind w:left="165"/>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30</w:t>
            </w:r>
          </w:p>
        </w:tc>
        <w:tc>
          <w:tcPr>
            <w:tcW w:w="397" w:type="pct"/>
            <w:vAlign w:val="top"/>
          </w:tcPr>
          <w:p w14:paraId="3C0A729A">
            <w:pPr>
              <w:pStyle w:val="30"/>
              <w:spacing w:before="28" w:line="200" w:lineRule="auto"/>
              <w:ind w:left="207"/>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30</w:t>
            </w:r>
          </w:p>
        </w:tc>
        <w:tc>
          <w:tcPr>
            <w:tcW w:w="305" w:type="pct"/>
            <w:vAlign w:val="top"/>
          </w:tcPr>
          <w:p w14:paraId="10418F6B">
            <w:pPr>
              <w:pStyle w:val="30"/>
              <w:spacing w:before="28" w:line="200" w:lineRule="auto"/>
              <w:ind w:left="150"/>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米</w:t>
            </w:r>
          </w:p>
        </w:tc>
        <w:tc>
          <w:tcPr>
            <w:tcW w:w="288" w:type="pct"/>
            <w:vAlign w:val="top"/>
          </w:tcPr>
          <w:p w14:paraId="521F3934">
            <w:pPr>
              <w:pStyle w:val="30"/>
              <w:spacing w:before="28" w:line="200" w:lineRule="auto"/>
              <w:ind w:left="178"/>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5</w:t>
            </w:r>
          </w:p>
        </w:tc>
        <w:tc>
          <w:tcPr>
            <w:tcW w:w="272" w:type="pct"/>
            <w:vAlign w:val="top"/>
          </w:tcPr>
          <w:p w14:paraId="26E07331">
            <w:pPr>
              <w:pStyle w:val="30"/>
              <w:spacing w:before="28" w:line="200" w:lineRule="auto"/>
              <w:ind w:left="167"/>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5</w:t>
            </w:r>
          </w:p>
        </w:tc>
        <w:tc>
          <w:tcPr>
            <w:tcW w:w="355" w:type="pct"/>
            <w:vAlign w:val="top"/>
          </w:tcPr>
          <w:p w14:paraId="4136D053">
            <w:pPr>
              <w:rPr>
                <w:rFonts w:ascii="Arial"/>
                <w:color w:val="000000" w:themeColor="text1"/>
                <w:sz w:val="21"/>
                <w:u w:val="none" w:color="auto"/>
                <w14:textFill>
                  <w14:solidFill>
                    <w14:schemeClr w14:val="tx1"/>
                  </w14:solidFill>
                </w14:textFill>
              </w:rPr>
            </w:pPr>
          </w:p>
        </w:tc>
      </w:tr>
      <w:tr w14:paraId="46E79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421" w:type="pct"/>
            <w:vMerge w:val="continue"/>
            <w:tcBorders>
              <w:top w:val="nil"/>
              <w:bottom w:val="nil"/>
            </w:tcBorders>
            <w:vAlign w:val="top"/>
          </w:tcPr>
          <w:p w14:paraId="06A77E7B">
            <w:pPr>
              <w:rPr>
                <w:rFonts w:ascii="Arial"/>
                <w:color w:val="000000" w:themeColor="text1"/>
                <w:sz w:val="21"/>
                <w:u w:val="none" w:color="auto"/>
                <w14:textFill>
                  <w14:solidFill>
                    <w14:schemeClr w14:val="tx1"/>
                  </w14:solidFill>
                </w14:textFill>
              </w:rPr>
            </w:pPr>
          </w:p>
        </w:tc>
        <w:tc>
          <w:tcPr>
            <w:tcW w:w="348" w:type="pct"/>
            <w:vMerge w:val="continue"/>
            <w:tcBorders>
              <w:top w:val="nil"/>
              <w:bottom w:val="nil"/>
            </w:tcBorders>
            <w:vAlign w:val="top"/>
          </w:tcPr>
          <w:p w14:paraId="7CB6AB9F">
            <w:pPr>
              <w:rPr>
                <w:rFonts w:ascii="Arial"/>
                <w:color w:val="000000" w:themeColor="text1"/>
                <w:sz w:val="21"/>
                <w:u w:val="none" w:color="auto"/>
                <w14:textFill>
                  <w14:solidFill>
                    <w14:schemeClr w14:val="tx1"/>
                  </w14:solidFill>
                </w14:textFill>
              </w:rPr>
            </w:pPr>
          </w:p>
        </w:tc>
        <w:tc>
          <w:tcPr>
            <w:tcW w:w="584" w:type="pct"/>
            <w:vMerge w:val="restart"/>
            <w:tcBorders>
              <w:bottom w:val="nil"/>
            </w:tcBorders>
            <w:vAlign w:val="top"/>
          </w:tcPr>
          <w:p w14:paraId="41162CE7">
            <w:pPr>
              <w:spacing w:line="277" w:lineRule="auto"/>
              <w:rPr>
                <w:rFonts w:ascii="Arial"/>
                <w:color w:val="000000" w:themeColor="text1"/>
                <w:sz w:val="21"/>
                <w:u w:val="none" w:color="auto"/>
                <w14:textFill>
                  <w14:solidFill>
                    <w14:schemeClr w14:val="tx1"/>
                  </w14:solidFill>
                </w14:textFill>
              </w:rPr>
            </w:pPr>
          </w:p>
          <w:p w14:paraId="2A105066">
            <w:pPr>
              <w:pStyle w:val="30"/>
              <w:spacing w:before="65" w:line="233" w:lineRule="auto"/>
              <w:ind w:left="72"/>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质量指标</w:t>
            </w:r>
          </w:p>
        </w:tc>
        <w:tc>
          <w:tcPr>
            <w:tcW w:w="1025" w:type="pct"/>
            <w:vAlign w:val="top"/>
          </w:tcPr>
          <w:p w14:paraId="17CF7492">
            <w:pPr>
              <w:pStyle w:val="30"/>
              <w:spacing w:before="120" w:line="228" w:lineRule="auto"/>
              <w:ind w:left="119"/>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道路验收合格率</w:t>
            </w:r>
          </w:p>
        </w:tc>
        <w:tc>
          <w:tcPr>
            <w:tcW w:w="305" w:type="pct"/>
            <w:vAlign w:val="top"/>
          </w:tcPr>
          <w:p w14:paraId="58F97FAE">
            <w:pPr>
              <w:pStyle w:val="30"/>
              <w:spacing w:before="120" w:line="234" w:lineRule="auto"/>
              <w:ind w:left="60"/>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正向</w:t>
            </w:r>
          </w:p>
        </w:tc>
        <w:tc>
          <w:tcPr>
            <w:tcW w:w="357" w:type="pct"/>
            <w:vAlign w:val="top"/>
          </w:tcPr>
          <w:p w14:paraId="5D9E515D">
            <w:pPr>
              <w:pStyle w:val="30"/>
              <w:spacing w:before="9" w:line="204" w:lineRule="auto"/>
              <w:ind w:left="95"/>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大于</w:t>
            </w:r>
          </w:p>
          <w:p w14:paraId="23B400DB">
            <w:pPr>
              <w:pStyle w:val="30"/>
              <w:spacing w:line="178" w:lineRule="auto"/>
              <w:ind w:left="9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等于</w:t>
            </w:r>
          </w:p>
        </w:tc>
        <w:tc>
          <w:tcPr>
            <w:tcW w:w="338" w:type="pct"/>
            <w:vAlign w:val="top"/>
          </w:tcPr>
          <w:p w14:paraId="20D91B86">
            <w:pPr>
              <w:pStyle w:val="30"/>
              <w:spacing w:before="121" w:line="266" w:lineRule="exact"/>
              <w:ind w:left="169"/>
              <w:rPr>
                <w:color w:val="000000" w:themeColor="text1"/>
                <w:u w:val="none" w:color="auto"/>
                <w14:textFill>
                  <w14:solidFill>
                    <w14:schemeClr w14:val="tx1"/>
                  </w14:solidFill>
                </w14:textFill>
              </w:rPr>
            </w:pPr>
            <w:r>
              <w:rPr>
                <w:color w:val="000000" w:themeColor="text1"/>
                <w:spacing w:val="-4"/>
                <w:position w:val="2"/>
                <w:u w:val="none" w:color="auto"/>
                <w14:textFill>
                  <w14:solidFill>
                    <w14:schemeClr w14:val="tx1"/>
                  </w14:solidFill>
                </w14:textFill>
              </w:rPr>
              <w:t>90</w:t>
            </w:r>
          </w:p>
        </w:tc>
        <w:tc>
          <w:tcPr>
            <w:tcW w:w="397" w:type="pct"/>
            <w:vAlign w:val="top"/>
          </w:tcPr>
          <w:p w14:paraId="3434C87D">
            <w:pPr>
              <w:pStyle w:val="30"/>
              <w:spacing w:before="121" w:line="266" w:lineRule="exact"/>
              <w:ind w:left="214"/>
              <w:rPr>
                <w:color w:val="000000" w:themeColor="text1"/>
                <w:u w:val="none" w:color="auto"/>
                <w14:textFill>
                  <w14:solidFill>
                    <w14:schemeClr w14:val="tx1"/>
                  </w14:solidFill>
                </w14:textFill>
              </w:rPr>
            </w:pPr>
            <w:r>
              <w:rPr>
                <w:color w:val="000000" w:themeColor="text1"/>
                <w:spacing w:val="-4"/>
                <w:position w:val="2"/>
                <w:u w:val="none" w:color="auto"/>
                <w14:textFill>
                  <w14:solidFill>
                    <w14:schemeClr w14:val="tx1"/>
                  </w14:solidFill>
                </w14:textFill>
              </w:rPr>
              <w:t>90</w:t>
            </w:r>
          </w:p>
        </w:tc>
        <w:tc>
          <w:tcPr>
            <w:tcW w:w="305" w:type="pct"/>
            <w:vAlign w:val="top"/>
          </w:tcPr>
          <w:p w14:paraId="302C83A8">
            <w:pPr>
              <w:pStyle w:val="30"/>
              <w:spacing w:before="121" w:line="267" w:lineRule="exact"/>
              <w:ind w:left="185"/>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288" w:type="pct"/>
            <w:vAlign w:val="top"/>
          </w:tcPr>
          <w:p w14:paraId="5C49C6C1">
            <w:pPr>
              <w:pStyle w:val="30"/>
              <w:spacing w:before="121" w:line="269" w:lineRule="exact"/>
              <w:ind w:left="138"/>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10</w:t>
            </w:r>
          </w:p>
        </w:tc>
        <w:tc>
          <w:tcPr>
            <w:tcW w:w="272" w:type="pct"/>
            <w:vAlign w:val="top"/>
          </w:tcPr>
          <w:p w14:paraId="79D25E43">
            <w:pPr>
              <w:pStyle w:val="30"/>
              <w:spacing w:before="121" w:line="269" w:lineRule="exact"/>
              <w:ind w:left="127"/>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10</w:t>
            </w:r>
          </w:p>
        </w:tc>
        <w:tc>
          <w:tcPr>
            <w:tcW w:w="355" w:type="pct"/>
            <w:vAlign w:val="top"/>
          </w:tcPr>
          <w:p w14:paraId="49A61C6C">
            <w:pPr>
              <w:rPr>
                <w:rFonts w:ascii="Arial"/>
                <w:color w:val="000000" w:themeColor="text1"/>
                <w:sz w:val="21"/>
                <w:u w:val="none" w:color="auto"/>
                <w14:textFill>
                  <w14:solidFill>
                    <w14:schemeClr w14:val="tx1"/>
                  </w14:solidFill>
                </w14:textFill>
              </w:rPr>
            </w:pPr>
          </w:p>
        </w:tc>
      </w:tr>
      <w:tr w14:paraId="5F6A9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421" w:type="pct"/>
            <w:vMerge w:val="continue"/>
            <w:tcBorders>
              <w:top w:val="nil"/>
              <w:bottom w:val="nil"/>
            </w:tcBorders>
            <w:vAlign w:val="top"/>
          </w:tcPr>
          <w:p w14:paraId="460E1F2D">
            <w:pPr>
              <w:rPr>
                <w:rFonts w:ascii="Arial"/>
                <w:color w:val="000000" w:themeColor="text1"/>
                <w:sz w:val="21"/>
                <w:u w:val="none" w:color="auto"/>
                <w14:textFill>
                  <w14:solidFill>
                    <w14:schemeClr w14:val="tx1"/>
                  </w14:solidFill>
                </w14:textFill>
              </w:rPr>
            </w:pPr>
          </w:p>
        </w:tc>
        <w:tc>
          <w:tcPr>
            <w:tcW w:w="348" w:type="pct"/>
            <w:vMerge w:val="continue"/>
            <w:tcBorders>
              <w:top w:val="nil"/>
              <w:bottom w:val="nil"/>
            </w:tcBorders>
            <w:vAlign w:val="top"/>
          </w:tcPr>
          <w:p w14:paraId="6859C7E0">
            <w:pPr>
              <w:rPr>
                <w:rFonts w:ascii="Arial"/>
                <w:color w:val="000000" w:themeColor="text1"/>
                <w:sz w:val="21"/>
                <w:u w:val="none" w:color="auto"/>
                <w14:textFill>
                  <w14:solidFill>
                    <w14:schemeClr w14:val="tx1"/>
                  </w14:solidFill>
                </w14:textFill>
              </w:rPr>
            </w:pPr>
          </w:p>
        </w:tc>
        <w:tc>
          <w:tcPr>
            <w:tcW w:w="584" w:type="pct"/>
            <w:vMerge w:val="continue"/>
            <w:tcBorders>
              <w:top w:val="nil"/>
            </w:tcBorders>
            <w:vAlign w:val="top"/>
          </w:tcPr>
          <w:p w14:paraId="1275E6A6">
            <w:pPr>
              <w:rPr>
                <w:rFonts w:ascii="Arial"/>
                <w:color w:val="000000" w:themeColor="text1"/>
                <w:sz w:val="21"/>
                <w:u w:val="none" w:color="auto"/>
                <w14:textFill>
                  <w14:solidFill>
                    <w14:schemeClr w14:val="tx1"/>
                  </w14:solidFill>
                </w14:textFill>
              </w:rPr>
            </w:pPr>
          </w:p>
        </w:tc>
        <w:tc>
          <w:tcPr>
            <w:tcW w:w="1025" w:type="pct"/>
            <w:vAlign w:val="top"/>
          </w:tcPr>
          <w:p w14:paraId="08D7C276">
            <w:pPr>
              <w:pStyle w:val="30"/>
              <w:spacing w:before="12" w:line="190" w:lineRule="auto"/>
              <w:ind w:left="399" w:right="95" w:hanging="274"/>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绿化亮化管网验</w:t>
            </w:r>
            <w:r>
              <w:rPr>
                <w:color w:val="000000" w:themeColor="text1"/>
                <w:spacing w:val="-6"/>
                <w:u w:val="none" w:color="auto"/>
                <w14:textFill>
                  <w14:solidFill>
                    <w14:schemeClr w14:val="tx1"/>
                  </w14:solidFill>
                </w14:textFill>
              </w:rPr>
              <w:t>收合格率</w:t>
            </w:r>
          </w:p>
        </w:tc>
        <w:tc>
          <w:tcPr>
            <w:tcW w:w="305" w:type="pct"/>
            <w:vAlign w:val="top"/>
          </w:tcPr>
          <w:p w14:paraId="29DDFE48">
            <w:pPr>
              <w:pStyle w:val="30"/>
              <w:spacing w:before="121" w:line="234" w:lineRule="auto"/>
              <w:ind w:left="60"/>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正向</w:t>
            </w:r>
          </w:p>
        </w:tc>
        <w:tc>
          <w:tcPr>
            <w:tcW w:w="357" w:type="pct"/>
            <w:vAlign w:val="top"/>
          </w:tcPr>
          <w:p w14:paraId="13728C5D">
            <w:pPr>
              <w:pStyle w:val="30"/>
              <w:spacing w:before="11" w:line="201" w:lineRule="auto"/>
              <w:ind w:left="95"/>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大于</w:t>
            </w:r>
          </w:p>
          <w:p w14:paraId="65E016F2">
            <w:pPr>
              <w:pStyle w:val="30"/>
              <w:spacing w:line="179" w:lineRule="auto"/>
              <w:ind w:left="9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等于</w:t>
            </w:r>
          </w:p>
        </w:tc>
        <w:tc>
          <w:tcPr>
            <w:tcW w:w="338" w:type="pct"/>
            <w:vAlign w:val="top"/>
          </w:tcPr>
          <w:p w14:paraId="6F536C72">
            <w:pPr>
              <w:pStyle w:val="30"/>
              <w:spacing w:before="122" w:line="266" w:lineRule="exact"/>
              <w:ind w:left="169"/>
              <w:rPr>
                <w:color w:val="000000" w:themeColor="text1"/>
                <w:u w:val="none" w:color="auto"/>
                <w14:textFill>
                  <w14:solidFill>
                    <w14:schemeClr w14:val="tx1"/>
                  </w14:solidFill>
                </w14:textFill>
              </w:rPr>
            </w:pPr>
            <w:r>
              <w:rPr>
                <w:color w:val="000000" w:themeColor="text1"/>
                <w:spacing w:val="-4"/>
                <w:position w:val="2"/>
                <w:u w:val="none" w:color="auto"/>
                <w14:textFill>
                  <w14:solidFill>
                    <w14:schemeClr w14:val="tx1"/>
                  </w14:solidFill>
                </w14:textFill>
              </w:rPr>
              <w:t>90</w:t>
            </w:r>
          </w:p>
        </w:tc>
        <w:tc>
          <w:tcPr>
            <w:tcW w:w="397" w:type="pct"/>
            <w:vAlign w:val="top"/>
          </w:tcPr>
          <w:p w14:paraId="517A3077">
            <w:pPr>
              <w:pStyle w:val="30"/>
              <w:spacing w:before="122" w:line="266" w:lineRule="exact"/>
              <w:ind w:left="214"/>
              <w:rPr>
                <w:color w:val="000000" w:themeColor="text1"/>
                <w:u w:val="none" w:color="auto"/>
                <w14:textFill>
                  <w14:solidFill>
                    <w14:schemeClr w14:val="tx1"/>
                  </w14:solidFill>
                </w14:textFill>
              </w:rPr>
            </w:pPr>
            <w:r>
              <w:rPr>
                <w:color w:val="000000" w:themeColor="text1"/>
                <w:spacing w:val="-4"/>
                <w:position w:val="2"/>
                <w:u w:val="none" w:color="auto"/>
                <w14:textFill>
                  <w14:solidFill>
                    <w14:schemeClr w14:val="tx1"/>
                  </w14:solidFill>
                </w14:textFill>
              </w:rPr>
              <w:t>90</w:t>
            </w:r>
          </w:p>
        </w:tc>
        <w:tc>
          <w:tcPr>
            <w:tcW w:w="305" w:type="pct"/>
            <w:vAlign w:val="top"/>
          </w:tcPr>
          <w:p w14:paraId="5DAAEE98">
            <w:pPr>
              <w:pStyle w:val="30"/>
              <w:spacing w:before="122" w:line="267" w:lineRule="exact"/>
              <w:ind w:left="185"/>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288" w:type="pct"/>
            <w:vAlign w:val="top"/>
          </w:tcPr>
          <w:p w14:paraId="57BD6BE0">
            <w:pPr>
              <w:pStyle w:val="30"/>
              <w:spacing w:before="122" w:line="268" w:lineRule="exact"/>
              <w:ind w:left="178"/>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272" w:type="pct"/>
            <w:vAlign w:val="top"/>
          </w:tcPr>
          <w:p w14:paraId="5889F644">
            <w:pPr>
              <w:pStyle w:val="30"/>
              <w:spacing w:before="122" w:line="268"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355" w:type="pct"/>
            <w:vAlign w:val="top"/>
          </w:tcPr>
          <w:p w14:paraId="1128DE12">
            <w:pPr>
              <w:rPr>
                <w:rFonts w:ascii="Arial"/>
                <w:color w:val="000000" w:themeColor="text1"/>
                <w:sz w:val="21"/>
                <w:u w:val="none" w:color="auto"/>
                <w14:textFill>
                  <w14:solidFill>
                    <w14:schemeClr w14:val="tx1"/>
                  </w14:solidFill>
                </w14:textFill>
              </w:rPr>
            </w:pPr>
          </w:p>
        </w:tc>
      </w:tr>
      <w:tr w14:paraId="6CB33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421" w:type="pct"/>
            <w:vMerge w:val="continue"/>
            <w:tcBorders>
              <w:top w:val="nil"/>
              <w:bottom w:val="nil"/>
            </w:tcBorders>
            <w:vAlign w:val="top"/>
          </w:tcPr>
          <w:p w14:paraId="56387DC6">
            <w:pPr>
              <w:rPr>
                <w:rFonts w:ascii="Arial"/>
                <w:color w:val="000000" w:themeColor="text1"/>
                <w:sz w:val="21"/>
                <w:u w:val="none" w:color="auto"/>
                <w14:textFill>
                  <w14:solidFill>
                    <w14:schemeClr w14:val="tx1"/>
                  </w14:solidFill>
                </w14:textFill>
              </w:rPr>
            </w:pPr>
          </w:p>
        </w:tc>
        <w:tc>
          <w:tcPr>
            <w:tcW w:w="348" w:type="pct"/>
            <w:vMerge w:val="continue"/>
            <w:tcBorders>
              <w:top w:val="nil"/>
              <w:bottom w:val="nil"/>
            </w:tcBorders>
            <w:vAlign w:val="top"/>
          </w:tcPr>
          <w:p w14:paraId="18D97AB4">
            <w:pPr>
              <w:rPr>
                <w:rFonts w:ascii="Arial"/>
                <w:color w:val="000000" w:themeColor="text1"/>
                <w:sz w:val="21"/>
                <w:u w:val="none" w:color="auto"/>
                <w14:textFill>
                  <w14:solidFill>
                    <w14:schemeClr w14:val="tx1"/>
                  </w14:solidFill>
                </w14:textFill>
              </w:rPr>
            </w:pPr>
          </w:p>
        </w:tc>
        <w:tc>
          <w:tcPr>
            <w:tcW w:w="584" w:type="pct"/>
            <w:vMerge w:val="restart"/>
            <w:tcBorders>
              <w:bottom w:val="nil"/>
            </w:tcBorders>
            <w:vAlign w:val="top"/>
          </w:tcPr>
          <w:p w14:paraId="3BFC54A4">
            <w:pPr>
              <w:spacing w:line="282" w:lineRule="auto"/>
              <w:rPr>
                <w:rFonts w:ascii="Arial"/>
                <w:color w:val="000000" w:themeColor="text1"/>
                <w:sz w:val="21"/>
                <w:u w:val="none" w:color="auto"/>
                <w14:textFill>
                  <w14:solidFill>
                    <w14:schemeClr w14:val="tx1"/>
                  </w14:solidFill>
                </w14:textFill>
              </w:rPr>
            </w:pPr>
          </w:p>
          <w:p w14:paraId="6DEC0676">
            <w:pPr>
              <w:pStyle w:val="30"/>
              <w:spacing w:before="65" w:line="233" w:lineRule="auto"/>
              <w:ind w:left="86"/>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时效指标</w:t>
            </w:r>
          </w:p>
        </w:tc>
        <w:tc>
          <w:tcPr>
            <w:tcW w:w="1025" w:type="pct"/>
            <w:vAlign w:val="top"/>
          </w:tcPr>
          <w:p w14:paraId="0775B4DF">
            <w:pPr>
              <w:pStyle w:val="30"/>
              <w:spacing w:before="12" w:line="190" w:lineRule="auto"/>
              <w:ind w:left="477" w:right="95" w:hanging="350"/>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完成道路建设的及时性</w:t>
            </w:r>
          </w:p>
        </w:tc>
        <w:tc>
          <w:tcPr>
            <w:tcW w:w="305" w:type="pct"/>
            <w:vAlign w:val="top"/>
          </w:tcPr>
          <w:p w14:paraId="74F85FD9">
            <w:pPr>
              <w:pStyle w:val="30"/>
              <w:spacing w:before="122" w:line="234" w:lineRule="auto"/>
              <w:ind w:left="53"/>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定性</w:t>
            </w:r>
          </w:p>
        </w:tc>
        <w:tc>
          <w:tcPr>
            <w:tcW w:w="357" w:type="pct"/>
            <w:vAlign w:val="top"/>
          </w:tcPr>
          <w:p w14:paraId="1DB0C571">
            <w:pPr>
              <w:rPr>
                <w:rFonts w:ascii="Arial"/>
                <w:color w:val="000000" w:themeColor="text1"/>
                <w:sz w:val="21"/>
                <w:u w:val="none" w:color="auto"/>
                <w14:textFill>
                  <w14:solidFill>
                    <w14:schemeClr w14:val="tx1"/>
                  </w14:solidFill>
                </w14:textFill>
              </w:rPr>
            </w:pPr>
          </w:p>
        </w:tc>
        <w:tc>
          <w:tcPr>
            <w:tcW w:w="338" w:type="pct"/>
            <w:vAlign w:val="top"/>
          </w:tcPr>
          <w:p w14:paraId="3C559730">
            <w:pPr>
              <w:pStyle w:val="30"/>
              <w:spacing w:before="12" w:line="204" w:lineRule="auto"/>
              <w:ind w:left="78"/>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按时</w:t>
            </w:r>
          </w:p>
          <w:p w14:paraId="544C2769">
            <w:pPr>
              <w:pStyle w:val="30"/>
              <w:spacing w:line="175" w:lineRule="auto"/>
              <w:ind w:left="8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完成</w:t>
            </w:r>
          </w:p>
        </w:tc>
        <w:tc>
          <w:tcPr>
            <w:tcW w:w="397" w:type="pct"/>
            <w:vAlign w:val="top"/>
          </w:tcPr>
          <w:p w14:paraId="783DECAE">
            <w:pPr>
              <w:pStyle w:val="30"/>
              <w:spacing w:before="12" w:line="204" w:lineRule="auto"/>
              <w:ind w:left="123"/>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按时</w:t>
            </w:r>
          </w:p>
          <w:p w14:paraId="366E074F">
            <w:pPr>
              <w:pStyle w:val="30"/>
              <w:spacing w:line="175" w:lineRule="auto"/>
              <w:ind w:left="131"/>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完成</w:t>
            </w:r>
          </w:p>
        </w:tc>
        <w:tc>
          <w:tcPr>
            <w:tcW w:w="305" w:type="pct"/>
            <w:vAlign w:val="top"/>
          </w:tcPr>
          <w:p w14:paraId="435D6615">
            <w:pPr>
              <w:rPr>
                <w:rFonts w:ascii="Arial"/>
                <w:color w:val="000000" w:themeColor="text1"/>
                <w:sz w:val="21"/>
                <w:u w:val="none" w:color="auto"/>
                <w14:textFill>
                  <w14:solidFill>
                    <w14:schemeClr w14:val="tx1"/>
                  </w14:solidFill>
                </w14:textFill>
              </w:rPr>
            </w:pPr>
          </w:p>
        </w:tc>
        <w:tc>
          <w:tcPr>
            <w:tcW w:w="288" w:type="pct"/>
            <w:vAlign w:val="top"/>
          </w:tcPr>
          <w:p w14:paraId="12A62820">
            <w:pPr>
              <w:pStyle w:val="30"/>
              <w:spacing w:before="123" w:line="268" w:lineRule="exact"/>
              <w:ind w:left="178"/>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272" w:type="pct"/>
            <w:vAlign w:val="top"/>
          </w:tcPr>
          <w:p w14:paraId="00373123">
            <w:pPr>
              <w:pStyle w:val="30"/>
              <w:spacing w:before="123" w:line="268"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355" w:type="pct"/>
            <w:vAlign w:val="top"/>
          </w:tcPr>
          <w:p w14:paraId="4E52A84D">
            <w:pPr>
              <w:rPr>
                <w:rFonts w:ascii="Arial"/>
                <w:color w:val="000000" w:themeColor="text1"/>
                <w:sz w:val="21"/>
                <w:u w:val="none" w:color="auto"/>
                <w14:textFill>
                  <w14:solidFill>
                    <w14:schemeClr w14:val="tx1"/>
                  </w14:solidFill>
                </w14:textFill>
              </w:rPr>
            </w:pPr>
          </w:p>
        </w:tc>
      </w:tr>
      <w:tr w14:paraId="1BF47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421" w:type="pct"/>
            <w:vMerge w:val="continue"/>
            <w:tcBorders>
              <w:top w:val="nil"/>
              <w:bottom w:val="nil"/>
            </w:tcBorders>
            <w:vAlign w:val="top"/>
          </w:tcPr>
          <w:p w14:paraId="1B93D22D">
            <w:pPr>
              <w:rPr>
                <w:rFonts w:ascii="Arial"/>
                <w:color w:val="000000" w:themeColor="text1"/>
                <w:sz w:val="21"/>
                <w:u w:val="none" w:color="auto"/>
                <w14:textFill>
                  <w14:solidFill>
                    <w14:schemeClr w14:val="tx1"/>
                  </w14:solidFill>
                </w14:textFill>
              </w:rPr>
            </w:pPr>
          </w:p>
        </w:tc>
        <w:tc>
          <w:tcPr>
            <w:tcW w:w="348" w:type="pct"/>
            <w:vMerge w:val="continue"/>
            <w:tcBorders>
              <w:top w:val="nil"/>
              <w:bottom w:val="nil"/>
            </w:tcBorders>
            <w:vAlign w:val="top"/>
          </w:tcPr>
          <w:p w14:paraId="19408C6C">
            <w:pPr>
              <w:rPr>
                <w:rFonts w:ascii="Arial"/>
                <w:color w:val="000000" w:themeColor="text1"/>
                <w:sz w:val="21"/>
                <w:u w:val="none" w:color="auto"/>
                <w14:textFill>
                  <w14:solidFill>
                    <w14:schemeClr w14:val="tx1"/>
                  </w14:solidFill>
                </w14:textFill>
              </w:rPr>
            </w:pPr>
          </w:p>
        </w:tc>
        <w:tc>
          <w:tcPr>
            <w:tcW w:w="584" w:type="pct"/>
            <w:vMerge w:val="continue"/>
            <w:tcBorders>
              <w:top w:val="nil"/>
            </w:tcBorders>
            <w:vAlign w:val="top"/>
          </w:tcPr>
          <w:p w14:paraId="1C271FDD">
            <w:pPr>
              <w:rPr>
                <w:rFonts w:ascii="Arial"/>
                <w:color w:val="000000" w:themeColor="text1"/>
                <w:sz w:val="21"/>
                <w:u w:val="none" w:color="auto"/>
                <w14:textFill>
                  <w14:solidFill>
                    <w14:schemeClr w14:val="tx1"/>
                  </w14:solidFill>
                </w14:textFill>
              </w:rPr>
            </w:pPr>
          </w:p>
        </w:tc>
        <w:tc>
          <w:tcPr>
            <w:tcW w:w="1025" w:type="pct"/>
            <w:vAlign w:val="top"/>
          </w:tcPr>
          <w:p w14:paraId="2109259D">
            <w:pPr>
              <w:pStyle w:val="30"/>
              <w:spacing w:before="13" w:line="190" w:lineRule="auto"/>
              <w:ind w:left="303" w:right="95" w:hanging="178"/>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绿化亮化管网完成的及时性</w:t>
            </w:r>
          </w:p>
        </w:tc>
        <w:tc>
          <w:tcPr>
            <w:tcW w:w="305" w:type="pct"/>
            <w:vAlign w:val="top"/>
          </w:tcPr>
          <w:p w14:paraId="6E91AC9D">
            <w:pPr>
              <w:pStyle w:val="30"/>
              <w:spacing w:before="123" w:line="234" w:lineRule="auto"/>
              <w:ind w:left="53"/>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定性</w:t>
            </w:r>
          </w:p>
        </w:tc>
        <w:tc>
          <w:tcPr>
            <w:tcW w:w="357" w:type="pct"/>
            <w:vAlign w:val="top"/>
          </w:tcPr>
          <w:p w14:paraId="50BD4C0D">
            <w:pPr>
              <w:rPr>
                <w:rFonts w:ascii="Arial"/>
                <w:color w:val="000000" w:themeColor="text1"/>
                <w:sz w:val="21"/>
                <w:u w:val="none" w:color="auto"/>
                <w14:textFill>
                  <w14:solidFill>
                    <w14:schemeClr w14:val="tx1"/>
                  </w14:solidFill>
                </w14:textFill>
              </w:rPr>
            </w:pPr>
          </w:p>
        </w:tc>
        <w:tc>
          <w:tcPr>
            <w:tcW w:w="338" w:type="pct"/>
            <w:vAlign w:val="top"/>
          </w:tcPr>
          <w:p w14:paraId="7F1045B9">
            <w:pPr>
              <w:pStyle w:val="30"/>
              <w:spacing w:before="13" w:line="204" w:lineRule="auto"/>
              <w:ind w:left="78"/>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按时</w:t>
            </w:r>
          </w:p>
          <w:p w14:paraId="32BC3DF6">
            <w:pPr>
              <w:pStyle w:val="30"/>
              <w:spacing w:line="175" w:lineRule="auto"/>
              <w:ind w:left="8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完成</w:t>
            </w:r>
          </w:p>
        </w:tc>
        <w:tc>
          <w:tcPr>
            <w:tcW w:w="397" w:type="pct"/>
            <w:vAlign w:val="top"/>
          </w:tcPr>
          <w:p w14:paraId="634CAB39">
            <w:pPr>
              <w:pStyle w:val="30"/>
              <w:spacing w:before="13" w:line="204" w:lineRule="auto"/>
              <w:ind w:left="123"/>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按时</w:t>
            </w:r>
          </w:p>
          <w:p w14:paraId="744E8811">
            <w:pPr>
              <w:pStyle w:val="30"/>
              <w:spacing w:line="175" w:lineRule="auto"/>
              <w:ind w:left="131"/>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完成</w:t>
            </w:r>
          </w:p>
        </w:tc>
        <w:tc>
          <w:tcPr>
            <w:tcW w:w="305" w:type="pct"/>
            <w:vAlign w:val="top"/>
          </w:tcPr>
          <w:p w14:paraId="7D2ECEEF">
            <w:pPr>
              <w:rPr>
                <w:rFonts w:ascii="Arial"/>
                <w:color w:val="000000" w:themeColor="text1"/>
                <w:sz w:val="21"/>
                <w:u w:val="none" w:color="auto"/>
                <w14:textFill>
                  <w14:solidFill>
                    <w14:schemeClr w14:val="tx1"/>
                  </w14:solidFill>
                </w14:textFill>
              </w:rPr>
            </w:pPr>
          </w:p>
        </w:tc>
        <w:tc>
          <w:tcPr>
            <w:tcW w:w="288" w:type="pct"/>
            <w:vAlign w:val="top"/>
          </w:tcPr>
          <w:p w14:paraId="3C9EEEF0">
            <w:pPr>
              <w:pStyle w:val="30"/>
              <w:spacing w:before="124" w:line="268" w:lineRule="exact"/>
              <w:ind w:left="178"/>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272" w:type="pct"/>
            <w:vAlign w:val="top"/>
          </w:tcPr>
          <w:p w14:paraId="652986C5">
            <w:pPr>
              <w:pStyle w:val="30"/>
              <w:spacing w:before="124" w:line="268"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355" w:type="pct"/>
            <w:vAlign w:val="top"/>
          </w:tcPr>
          <w:p w14:paraId="13F26A96">
            <w:pPr>
              <w:rPr>
                <w:rFonts w:ascii="Arial"/>
                <w:color w:val="000000" w:themeColor="text1"/>
                <w:sz w:val="21"/>
                <w:u w:val="none" w:color="auto"/>
                <w14:textFill>
                  <w14:solidFill>
                    <w14:schemeClr w14:val="tx1"/>
                  </w14:solidFill>
                </w14:textFill>
              </w:rPr>
            </w:pPr>
          </w:p>
        </w:tc>
      </w:tr>
      <w:tr w14:paraId="02A6E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421" w:type="pct"/>
            <w:vMerge w:val="continue"/>
            <w:tcBorders>
              <w:top w:val="nil"/>
              <w:bottom w:val="nil"/>
            </w:tcBorders>
            <w:vAlign w:val="top"/>
          </w:tcPr>
          <w:p w14:paraId="7A594DA5">
            <w:pPr>
              <w:rPr>
                <w:rFonts w:ascii="Arial"/>
                <w:color w:val="000000" w:themeColor="text1"/>
                <w:sz w:val="21"/>
                <w:u w:val="none" w:color="auto"/>
                <w14:textFill>
                  <w14:solidFill>
                    <w14:schemeClr w14:val="tx1"/>
                  </w14:solidFill>
                </w14:textFill>
              </w:rPr>
            </w:pPr>
          </w:p>
        </w:tc>
        <w:tc>
          <w:tcPr>
            <w:tcW w:w="348" w:type="pct"/>
            <w:vMerge w:val="continue"/>
            <w:tcBorders>
              <w:top w:val="nil"/>
              <w:bottom w:val="nil"/>
            </w:tcBorders>
            <w:vAlign w:val="top"/>
          </w:tcPr>
          <w:p w14:paraId="3CD7D8B9">
            <w:pPr>
              <w:rPr>
                <w:rFonts w:ascii="Arial"/>
                <w:color w:val="000000" w:themeColor="text1"/>
                <w:sz w:val="21"/>
                <w:u w:val="none" w:color="auto"/>
                <w14:textFill>
                  <w14:solidFill>
                    <w14:schemeClr w14:val="tx1"/>
                  </w14:solidFill>
                </w14:textFill>
              </w:rPr>
            </w:pPr>
          </w:p>
        </w:tc>
        <w:tc>
          <w:tcPr>
            <w:tcW w:w="584" w:type="pct"/>
            <w:vMerge w:val="restart"/>
            <w:tcBorders>
              <w:bottom w:val="nil"/>
            </w:tcBorders>
            <w:vAlign w:val="top"/>
          </w:tcPr>
          <w:p w14:paraId="4FA62945">
            <w:pPr>
              <w:spacing w:line="283" w:lineRule="auto"/>
              <w:rPr>
                <w:rFonts w:ascii="Arial"/>
                <w:color w:val="000000" w:themeColor="text1"/>
                <w:sz w:val="21"/>
                <w:u w:val="none" w:color="auto"/>
                <w14:textFill>
                  <w14:solidFill>
                    <w14:schemeClr w14:val="tx1"/>
                  </w14:solidFill>
                </w14:textFill>
              </w:rPr>
            </w:pPr>
          </w:p>
          <w:p w14:paraId="6CD33626">
            <w:pPr>
              <w:pStyle w:val="30"/>
              <w:spacing w:before="65" w:line="232" w:lineRule="auto"/>
              <w:ind w:left="73"/>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成本指标</w:t>
            </w:r>
          </w:p>
        </w:tc>
        <w:tc>
          <w:tcPr>
            <w:tcW w:w="1025" w:type="pct"/>
            <w:vAlign w:val="top"/>
          </w:tcPr>
          <w:p w14:paraId="1DDA92A2">
            <w:pPr>
              <w:pStyle w:val="30"/>
              <w:spacing w:before="13" w:line="190" w:lineRule="auto"/>
              <w:ind w:left="116" w:right="95" w:firstLine="2"/>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道路及管网工程每公里成本控制</w:t>
            </w:r>
          </w:p>
        </w:tc>
        <w:tc>
          <w:tcPr>
            <w:tcW w:w="305" w:type="pct"/>
            <w:vAlign w:val="top"/>
          </w:tcPr>
          <w:p w14:paraId="783B1C6F">
            <w:pPr>
              <w:pStyle w:val="30"/>
              <w:spacing w:before="124" w:line="234" w:lineRule="auto"/>
              <w:ind w:left="56"/>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反向</w:t>
            </w:r>
          </w:p>
        </w:tc>
        <w:tc>
          <w:tcPr>
            <w:tcW w:w="357" w:type="pct"/>
            <w:vAlign w:val="top"/>
          </w:tcPr>
          <w:p w14:paraId="46C7C77A">
            <w:pPr>
              <w:pStyle w:val="30"/>
              <w:spacing w:before="13" w:line="204" w:lineRule="auto"/>
              <w:ind w:left="95"/>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小于</w:t>
            </w:r>
          </w:p>
          <w:p w14:paraId="441D2933">
            <w:pPr>
              <w:pStyle w:val="30"/>
              <w:spacing w:line="175" w:lineRule="auto"/>
              <w:ind w:left="9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等于</w:t>
            </w:r>
          </w:p>
        </w:tc>
        <w:tc>
          <w:tcPr>
            <w:tcW w:w="338" w:type="pct"/>
            <w:vAlign w:val="top"/>
          </w:tcPr>
          <w:p w14:paraId="0311A1D5">
            <w:pPr>
              <w:pStyle w:val="30"/>
              <w:spacing w:before="125" w:line="269" w:lineRule="exact"/>
              <w:ind w:left="82"/>
              <w:rPr>
                <w:color w:val="000000" w:themeColor="text1"/>
                <w:u w:val="none" w:color="auto"/>
                <w14:textFill>
                  <w14:solidFill>
                    <w14:schemeClr w14:val="tx1"/>
                  </w14:solidFill>
                </w14:textFill>
              </w:rPr>
            </w:pPr>
            <w:r>
              <w:rPr>
                <w:color w:val="000000" w:themeColor="text1"/>
                <w:spacing w:val="-3"/>
                <w:position w:val="2"/>
                <w:u w:val="none" w:color="auto"/>
                <w14:textFill>
                  <w14:solidFill>
                    <w14:schemeClr w14:val="tx1"/>
                  </w14:solidFill>
                </w14:textFill>
              </w:rPr>
              <w:t>1700</w:t>
            </w:r>
          </w:p>
        </w:tc>
        <w:tc>
          <w:tcPr>
            <w:tcW w:w="397" w:type="pct"/>
            <w:vAlign w:val="top"/>
          </w:tcPr>
          <w:p w14:paraId="0984D0F5">
            <w:pPr>
              <w:pStyle w:val="30"/>
              <w:spacing w:before="125" w:line="269" w:lineRule="exact"/>
              <w:ind w:left="127"/>
              <w:rPr>
                <w:color w:val="000000" w:themeColor="text1"/>
                <w:u w:val="none" w:color="auto"/>
                <w14:textFill>
                  <w14:solidFill>
                    <w14:schemeClr w14:val="tx1"/>
                  </w14:solidFill>
                </w14:textFill>
              </w:rPr>
            </w:pPr>
            <w:r>
              <w:rPr>
                <w:color w:val="000000" w:themeColor="text1"/>
                <w:spacing w:val="-3"/>
                <w:position w:val="2"/>
                <w:u w:val="none" w:color="auto"/>
                <w14:textFill>
                  <w14:solidFill>
                    <w14:schemeClr w14:val="tx1"/>
                  </w14:solidFill>
                </w14:textFill>
              </w:rPr>
              <w:t>1700</w:t>
            </w:r>
          </w:p>
        </w:tc>
        <w:tc>
          <w:tcPr>
            <w:tcW w:w="305" w:type="pct"/>
            <w:vAlign w:val="top"/>
          </w:tcPr>
          <w:p w14:paraId="73E7DA0C">
            <w:pPr>
              <w:pStyle w:val="30"/>
              <w:spacing w:before="141" w:line="197" w:lineRule="auto"/>
              <w:ind w:left="65"/>
              <w:rPr>
                <w:color w:val="000000" w:themeColor="text1"/>
                <w:u w:val="none" w:color="auto"/>
                <w14:textFill>
                  <w14:solidFill>
                    <w14:schemeClr w14:val="tx1"/>
                  </w14:solidFill>
                </w14:textFill>
              </w:rPr>
            </w:pPr>
            <w:r>
              <w:rPr>
                <w:color w:val="000000" w:themeColor="text1"/>
                <w:spacing w:val="-10"/>
                <w:u w:val="none" w:color="auto"/>
                <w14:textFill>
                  <w14:solidFill>
                    <w14:schemeClr w14:val="tx1"/>
                  </w14:solidFill>
                </w14:textFill>
              </w:rPr>
              <w:t>万元</w:t>
            </w:r>
          </w:p>
        </w:tc>
        <w:tc>
          <w:tcPr>
            <w:tcW w:w="288" w:type="pct"/>
            <w:vAlign w:val="top"/>
          </w:tcPr>
          <w:p w14:paraId="19FABB59">
            <w:pPr>
              <w:pStyle w:val="30"/>
              <w:spacing w:before="125" w:line="268" w:lineRule="exact"/>
              <w:ind w:left="178"/>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272" w:type="pct"/>
            <w:vAlign w:val="top"/>
          </w:tcPr>
          <w:p w14:paraId="6FFCADA3">
            <w:pPr>
              <w:pStyle w:val="30"/>
              <w:spacing w:before="125" w:line="268"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355" w:type="pct"/>
            <w:vAlign w:val="top"/>
          </w:tcPr>
          <w:p w14:paraId="394E718B">
            <w:pPr>
              <w:rPr>
                <w:rFonts w:ascii="Arial"/>
                <w:color w:val="000000" w:themeColor="text1"/>
                <w:sz w:val="21"/>
                <w:u w:val="none" w:color="auto"/>
                <w14:textFill>
                  <w14:solidFill>
                    <w14:schemeClr w14:val="tx1"/>
                  </w14:solidFill>
                </w14:textFill>
              </w:rPr>
            </w:pPr>
          </w:p>
        </w:tc>
      </w:tr>
      <w:tr w14:paraId="5DBFF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421" w:type="pct"/>
            <w:vMerge w:val="continue"/>
            <w:tcBorders>
              <w:top w:val="nil"/>
              <w:bottom w:val="nil"/>
            </w:tcBorders>
            <w:vAlign w:val="top"/>
          </w:tcPr>
          <w:p w14:paraId="60404F7B">
            <w:pPr>
              <w:rPr>
                <w:rFonts w:ascii="Arial"/>
                <w:color w:val="000000" w:themeColor="text1"/>
                <w:sz w:val="21"/>
                <w:u w:val="none" w:color="auto"/>
                <w14:textFill>
                  <w14:solidFill>
                    <w14:schemeClr w14:val="tx1"/>
                  </w14:solidFill>
                </w14:textFill>
              </w:rPr>
            </w:pPr>
          </w:p>
        </w:tc>
        <w:tc>
          <w:tcPr>
            <w:tcW w:w="348" w:type="pct"/>
            <w:vMerge w:val="continue"/>
            <w:tcBorders>
              <w:top w:val="nil"/>
            </w:tcBorders>
            <w:vAlign w:val="top"/>
          </w:tcPr>
          <w:p w14:paraId="6F48325E">
            <w:pPr>
              <w:rPr>
                <w:rFonts w:ascii="Arial"/>
                <w:color w:val="000000" w:themeColor="text1"/>
                <w:sz w:val="21"/>
                <w:u w:val="none" w:color="auto"/>
                <w14:textFill>
                  <w14:solidFill>
                    <w14:schemeClr w14:val="tx1"/>
                  </w14:solidFill>
                </w14:textFill>
              </w:rPr>
            </w:pPr>
          </w:p>
        </w:tc>
        <w:tc>
          <w:tcPr>
            <w:tcW w:w="584" w:type="pct"/>
            <w:vMerge w:val="continue"/>
            <w:tcBorders>
              <w:top w:val="nil"/>
            </w:tcBorders>
            <w:vAlign w:val="top"/>
          </w:tcPr>
          <w:p w14:paraId="48CF5DAC">
            <w:pPr>
              <w:rPr>
                <w:rFonts w:ascii="Arial"/>
                <w:color w:val="000000" w:themeColor="text1"/>
                <w:sz w:val="21"/>
                <w:u w:val="none" w:color="auto"/>
                <w14:textFill>
                  <w14:solidFill>
                    <w14:schemeClr w14:val="tx1"/>
                  </w14:solidFill>
                </w14:textFill>
              </w:rPr>
            </w:pPr>
          </w:p>
        </w:tc>
        <w:tc>
          <w:tcPr>
            <w:tcW w:w="1025" w:type="pct"/>
            <w:vAlign w:val="top"/>
          </w:tcPr>
          <w:p w14:paraId="3F3F11DC">
            <w:pPr>
              <w:pStyle w:val="30"/>
              <w:spacing w:before="13" w:line="190" w:lineRule="auto"/>
              <w:ind w:left="303" w:right="95" w:hanging="178"/>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绿化工程每平方米成本控制</w:t>
            </w:r>
          </w:p>
        </w:tc>
        <w:tc>
          <w:tcPr>
            <w:tcW w:w="305" w:type="pct"/>
            <w:vAlign w:val="top"/>
          </w:tcPr>
          <w:p w14:paraId="2598810A">
            <w:pPr>
              <w:pStyle w:val="30"/>
              <w:spacing w:before="124" w:line="234" w:lineRule="auto"/>
              <w:ind w:left="56"/>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反向</w:t>
            </w:r>
          </w:p>
        </w:tc>
        <w:tc>
          <w:tcPr>
            <w:tcW w:w="357" w:type="pct"/>
            <w:vAlign w:val="top"/>
          </w:tcPr>
          <w:p w14:paraId="18D075E1">
            <w:pPr>
              <w:pStyle w:val="30"/>
              <w:spacing w:before="13" w:line="204" w:lineRule="auto"/>
              <w:ind w:left="95"/>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小于</w:t>
            </w:r>
          </w:p>
          <w:p w14:paraId="3D0C2344">
            <w:pPr>
              <w:pStyle w:val="30"/>
              <w:spacing w:line="175" w:lineRule="auto"/>
              <w:ind w:left="9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等于</w:t>
            </w:r>
          </w:p>
        </w:tc>
        <w:tc>
          <w:tcPr>
            <w:tcW w:w="338" w:type="pct"/>
            <w:vAlign w:val="top"/>
          </w:tcPr>
          <w:p w14:paraId="1A67D49F">
            <w:pPr>
              <w:pStyle w:val="30"/>
              <w:spacing w:before="125" w:line="269" w:lineRule="exact"/>
              <w:ind w:left="126"/>
              <w:rPr>
                <w:color w:val="000000" w:themeColor="text1"/>
                <w:u w:val="none" w:color="auto"/>
                <w14:textFill>
                  <w14:solidFill>
                    <w14:schemeClr w14:val="tx1"/>
                  </w14:solidFill>
                </w14:textFill>
              </w:rPr>
            </w:pPr>
            <w:r>
              <w:rPr>
                <w:color w:val="000000" w:themeColor="text1"/>
                <w:spacing w:val="-3"/>
                <w:position w:val="2"/>
                <w:u w:val="none" w:color="auto"/>
                <w14:textFill>
                  <w14:solidFill>
                    <w14:schemeClr w14:val="tx1"/>
                  </w14:solidFill>
                </w14:textFill>
              </w:rPr>
              <w:t>600</w:t>
            </w:r>
          </w:p>
        </w:tc>
        <w:tc>
          <w:tcPr>
            <w:tcW w:w="397" w:type="pct"/>
            <w:vAlign w:val="top"/>
          </w:tcPr>
          <w:p w14:paraId="305174E8">
            <w:pPr>
              <w:pStyle w:val="30"/>
              <w:spacing w:before="125" w:line="269" w:lineRule="exact"/>
              <w:ind w:left="171"/>
              <w:rPr>
                <w:color w:val="000000" w:themeColor="text1"/>
                <w:u w:val="none" w:color="auto"/>
                <w14:textFill>
                  <w14:solidFill>
                    <w14:schemeClr w14:val="tx1"/>
                  </w14:solidFill>
                </w14:textFill>
              </w:rPr>
            </w:pPr>
            <w:r>
              <w:rPr>
                <w:color w:val="000000" w:themeColor="text1"/>
                <w:spacing w:val="-3"/>
                <w:position w:val="2"/>
                <w:u w:val="none" w:color="auto"/>
                <w14:textFill>
                  <w14:solidFill>
                    <w14:schemeClr w14:val="tx1"/>
                  </w14:solidFill>
                </w14:textFill>
              </w:rPr>
              <w:t>600</w:t>
            </w:r>
          </w:p>
        </w:tc>
        <w:tc>
          <w:tcPr>
            <w:tcW w:w="305" w:type="pct"/>
            <w:vAlign w:val="top"/>
          </w:tcPr>
          <w:p w14:paraId="21807E97">
            <w:pPr>
              <w:pStyle w:val="30"/>
              <w:spacing w:before="141" w:line="197" w:lineRule="auto"/>
              <w:ind w:left="150"/>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元</w:t>
            </w:r>
          </w:p>
        </w:tc>
        <w:tc>
          <w:tcPr>
            <w:tcW w:w="288" w:type="pct"/>
            <w:vAlign w:val="top"/>
          </w:tcPr>
          <w:p w14:paraId="53E873BC">
            <w:pPr>
              <w:pStyle w:val="30"/>
              <w:spacing w:before="125" w:line="268" w:lineRule="exact"/>
              <w:ind w:left="178"/>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272" w:type="pct"/>
            <w:vAlign w:val="top"/>
          </w:tcPr>
          <w:p w14:paraId="1CAB8C3F">
            <w:pPr>
              <w:pStyle w:val="30"/>
              <w:spacing w:before="125" w:line="268"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355" w:type="pct"/>
            <w:vAlign w:val="top"/>
          </w:tcPr>
          <w:p w14:paraId="0993870F">
            <w:pPr>
              <w:rPr>
                <w:rFonts w:ascii="Arial"/>
                <w:color w:val="000000" w:themeColor="text1"/>
                <w:sz w:val="21"/>
                <w:u w:val="none" w:color="auto"/>
                <w14:textFill>
                  <w14:solidFill>
                    <w14:schemeClr w14:val="tx1"/>
                  </w14:solidFill>
                </w14:textFill>
              </w:rPr>
            </w:pPr>
          </w:p>
        </w:tc>
      </w:tr>
      <w:tr w14:paraId="1D40B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421" w:type="pct"/>
            <w:vMerge w:val="continue"/>
            <w:tcBorders>
              <w:top w:val="nil"/>
              <w:bottom w:val="nil"/>
            </w:tcBorders>
            <w:vAlign w:val="top"/>
          </w:tcPr>
          <w:p w14:paraId="00B20367">
            <w:pPr>
              <w:rPr>
                <w:rFonts w:ascii="Arial"/>
                <w:color w:val="000000" w:themeColor="text1"/>
                <w:sz w:val="21"/>
                <w:u w:val="none" w:color="auto"/>
                <w14:textFill>
                  <w14:solidFill>
                    <w14:schemeClr w14:val="tx1"/>
                  </w14:solidFill>
                </w14:textFill>
              </w:rPr>
            </w:pPr>
          </w:p>
        </w:tc>
        <w:tc>
          <w:tcPr>
            <w:tcW w:w="348" w:type="pct"/>
            <w:vMerge w:val="restart"/>
            <w:tcBorders>
              <w:bottom w:val="nil"/>
            </w:tcBorders>
            <w:vAlign w:val="top"/>
          </w:tcPr>
          <w:p w14:paraId="27CA521F">
            <w:pPr>
              <w:pStyle w:val="30"/>
              <w:spacing w:before="240" w:line="217" w:lineRule="auto"/>
              <w:ind w:left="79" w:right="59" w:firstLine="2"/>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效益</w:t>
            </w:r>
            <w:r>
              <w:rPr>
                <w:color w:val="000000" w:themeColor="text1"/>
                <w:spacing w:val="-6"/>
                <w:u w:val="none" w:color="auto"/>
                <w14:textFill>
                  <w14:solidFill>
                    <w14:schemeClr w14:val="tx1"/>
                  </w14:solidFill>
                </w14:textFill>
              </w:rPr>
              <w:t>指标</w:t>
            </w:r>
          </w:p>
        </w:tc>
        <w:tc>
          <w:tcPr>
            <w:tcW w:w="584" w:type="pct"/>
            <w:vAlign w:val="top"/>
          </w:tcPr>
          <w:p w14:paraId="3C66EA28">
            <w:pPr>
              <w:pStyle w:val="30"/>
              <w:spacing w:before="124" w:line="235" w:lineRule="auto"/>
              <w:ind w:left="71"/>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社会效益</w:t>
            </w:r>
          </w:p>
        </w:tc>
        <w:tc>
          <w:tcPr>
            <w:tcW w:w="1025" w:type="pct"/>
            <w:vAlign w:val="top"/>
          </w:tcPr>
          <w:p w14:paraId="0E782DF6">
            <w:pPr>
              <w:pStyle w:val="30"/>
              <w:spacing w:before="15" w:line="189" w:lineRule="auto"/>
              <w:ind w:left="399" w:right="95" w:hanging="265"/>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改善双河区居民</w:t>
            </w:r>
            <w:r>
              <w:rPr>
                <w:color w:val="000000" w:themeColor="text1"/>
                <w:spacing w:val="-6"/>
                <w:u w:val="none" w:color="auto"/>
                <w14:textFill>
                  <w14:solidFill>
                    <w14:schemeClr w14:val="tx1"/>
                  </w14:solidFill>
                </w14:textFill>
              </w:rPr>
              <w:t>生活条件</w:t>
            </w:r>
          </w:p>
        </w:tc>
        <w:tc>
          <w:tcPr>
            <w:tcW w:w="305" w:type="pct"/>
            <w:vAlign w:val="top"/>
          </w:tcPr>
          <w:p w14:paraId="3A7A0B87">
            <w:pPr>
              <w:pStyle w:val="30"/>
              <w:spacing w:before="124" w:line="234" w:lineRule="auto"/>
              <w:ind w:left="53"/>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定性</w:t>
            </w:r>
          </w:p>
        </w:tc>
        <w:tc>
          <w:tcPr>
            <w:tcW w:w="357" w:type="pct"/>
            <w:vAlign w:val="top"/>
          </w:tcPr>
          <w:p w14:paraId="7F9F8A8D">
            <w:pPr>
              <w:rPr>
                <w:rFonts w:ascii="Arial"/>
                <w:color w:val="000000" w:themeColor="text1"/>
                <w:sz w:val="21"/>
                <w:u w:val="none" w:color="auto"/>
                <w14:textFill>
                  <w14:solidFill>
                    <w14:schemeClr w14:val="tx1"/>
                  </w14:solidFill>
                </w14:textFill>
              </w:rPr>
            </w:pPr>
          </w:p>
        </w:tc>
        <w:tc>
          <w:tcPr>
            <w:tcW w:w="338" w:type="pct"/>
            <w:vAlign w:val="top"/>
          </w:tcPr>
          <w:p w14:paraId="5329119D">
            <w:pPr>
              <w:pStyle w:val="30"/>
              <w:spacing w:before="14" w:line="201" w:lineRule="auto"/>
              <w:ind w:left="82"/>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有效</w:t>
            </w:r>
          </w:p>
          <w:p w14:paraId="33123676">
            <w:pPr>
              <w:pStyle w:val="30"/>
              <w:spacing w:line="177" w:lineRule="auto"/>
              <w:ind w:left="93"/>
              <w:rPr>
                <w:color w:val="000000" w:themeColor="text1"/>
                <w:u w:val="none" w:color="auto"/>
                <w14:textFill>
                  <w14:solidFill>
                    <w14:schemeClr w14:val="tx1"/>
                  </w14:solidFill>
                </w14:textFill>
              </w:rPr>
            </w:pPr>
            <w:r>
              <w:rPr>
                <w:color w:val="000000" w:themeColor="text1"/>
                <w:spacing w:val="-13"/>
                <w:u w:val="none" w:color="auto"/>
                <w14:textFill>
                  <w14:solidFill>
                    <w14:schemeClr w14:val="tx1"/>
                  </w14:solidFill>
                </w14:textFill>
              </w:rPr>
              <w:t>改善</w:t>
            </w:r>
          </w:p>
        </w:tc>
        <w:tc>
          <w:tcPr>
            <w:tcW w:w="397" w:type="pct"/>
            <w:vAlign w:val="top"/>
          </w:tcPr>
          <w:p w14:paraId="695F120A">
            <w:pPr>
              <w:pStyle w:val="30"/>
              <w:spacing w:before="14" w:line="201" w:lineRule="auto"/>
              <w:ind w:left="127"/>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有效</w:t>
            </w:r>
          </w:p>
          <w:p w14:paraId="42D7FB36">
            <w:pPr>
              <w:pStyle w:val="30"/>
              <w:spacing w:line="177" w:lineRule="auto"/>
              <w:ind w:left="138"/>
              <w:rPr>
                <w:color w:val="000000" w:themeColor="text1"/>
                <w:u w:val="none" w:color="auto"/>
                <w14:textFill>
                  <w14:solidFill>
                    <w14:schemeClr w14:val="tx1"/>
                  </w14:solidFill>
                </w14:textFill>
              </w:rPr>
            </w:pPr>
            <w:r>
              <w:rPr>
                <w:color w:val="000000" w:themeColor="text1"/>
                <w:spacing w:val="-13"/>
                <w:u w:val="none" w:color="auto"/>
                <w14:textFill>
                  <w14:solidFill>
                    <w14:schemeClr w14:val="tx1"/>
                  </w14:solidFill>
                </w14:textFill>
              </w:rPr>
              <w:t>改善</w:t>
            </w:r>
          </w:p>
        </w:tc>
        <w:tc>
          <w:tcPr>
            <w:tcW w:w="305" w:type="pct"/>
            <w:vAlign w:val="top"/>
          </w:tcPr>
          <w:p w14:paraId="58D87C39">
            <w:pPr>
              <w:rPr>
                <w:rFonts w:ascii="Arial"/>
                <w:color w:val="000000" w:themeColor="text1"/>
                <w:sz w:val="21"/>
                <w:u w:val="none" w:color="auto"/>
                <w14:textFill>
                  <w14:solidFill>
                    <w14:schemeClr w14:val="tx1"/>
                  </w14:solidFill>
                </w14:textFill>
              </w:rPr>
            </w:pPr>
          </w:p>
        </w:tc>
        <w:tc>
          <w:tcPr>
            <w:tcW w:w="288" w:type="pct"/>
            <w:vAlign w:val="top"/>
          </w:tcPr>
          <w:p w14:paraId="35452699">
            <w:pPr>
              <w:pStyle w:val="30"/>
              <w:spacing w:before="125" w:line="268" w:lineRule="exact"/>
              <w:ind w:left="138"/>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15</w:t>
            </w:r>
          </w:p>
        </w:tc>
        <w:tc>
          <w:tcPr>
            <w:tcW w:w="272" w:type="pct"/>
            <w:vAlign w:val="top"/>
          </w:tcPr>
          <w:p w14:paraId="1678F9CC">
            <w:pPr>
              <w:pStyle w:val="30"/>
              <w:spacing w:before="125" w:line="268" w:lineRule="exact"/>
              <w:ind w:left="127"/>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15</w:t>
            </w:r>
          </w:p>
        </w:tc>
        <w:tc>
          <w:tcPr>
            <w:tcW w:w="355" w:type="pct"/>
            <w:vAlign w:val="top"/>
          </w:tcPr>
          <w:p w14:paraId="18406271">
            <w:pPr>
              <w:rPr>
                <w:rFonts w:ascii="Arial"/>
                <w:color w:val="000000" w:themeColor="text1"/>
                <w:sz w:val="21"/>
                <w:u w:val="none" w:color="auto"/>
                <w14:textFill>
                  <w14:solidFill>
                    <w14:schemeClr w14:val="tx1"/>
                  </w14:solidFill>
                </w14:textFill>
              </w:rPr>
            </w:pPr>
          </w:p>
        </w:tc>
      </w:tr>
      <w:tr w14:paraId="45469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421" w:type="pct"/>
            <w:vMerge w:val="continue"/>
            <w:tcBorders>
              <w:top w:val="nil"/>
              <w:bottom w:val="nil"/>
            </w:tcBorders>
            <w:vAlign w:val="top"/>
          </w:tcPr>
          <w:p w14:paraId="0DD29EE9">
            <w:pPr>
              <w:rPr>
                <w:rFonts w:ascii="Arial"/>
                <w:color w:val="000000" w:themeColor="text1"/>
                <w:sz w:val="21"/>
                <w:u w:val="none" w:color="auto"/>
                <w14:textFill>
                  <w14:solidFill>
                    <w14:schemeClr w14:val="tx1"/>
                  </w14:solidFill>
                </w14:textFill>
              </w:rPr>
            </w:pPr>
          </w:p>
        </w:tc>
        <w:tc>
          <w:tcPr>
            <w:tcW w:w="348" w:type="pct"/>
            <w:vMerge w:val="continue"/>
            <w:tcBorders>
              <w:top w:val="nil"/>
            </w:tcBorders>
            <w:vAlign w:val="top"/>
          </w:tcPr>
          <w:p w14:paraId="028FDF33">
            <w:pPr>
              <w:rPr>
                <w:rFonts w:ascii="Arial"/>
                <w:color w:val="000000" w:themeColor="text1"/>
                <w:sz w:val="21"/>
                <w:u w:val="none" w:color="auto"/>
                <w14:textFill>
                  <w14:solidFill>
                    <w14:schemeClr w14:val="tx1"/>
                  </w14:solidFill>
                </w14:textFill>
              </w:rPr>
            </w:pPr>
          </w:p>
        </w:tc>
        <w:tc>
          <w:tcPr>
            <w:tcW w:w="584" w:type="pct"/>
            <w:vAlign w:val="top"/>
          </w:tcPr>
          <w:p w14:paraId="649BAAA2">
            <w:pPr>
              <w:pStyle w:val="30"/>
              <w:spacing w:before="15" w:line="189" w:lineRule="auto"/>
              <w:ind w:left="349" w:right="50" w:hanging="274"/>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可持续影</w:t>
            </w:r>
            <w:r>
              <w:rPr>
                <w:color w:val="000000" w:themeColor="text1"/>
                <w:u w:val="none" w:color="auto"/>
                <w14:textFill>
                  <w14:solidFill>
                    <w14:schemeClr w14:val="tx1"/>
                  </w14:solidFill>
                </w14:textFill>
              </w:rPr>
              <w:t>响</w:t>
            </w:r>
          </w:p>
        </w:tc>
        <w:tc>
          <w:tcPr>
            <w:tcW w:w="1025" w:type="pct"/>
            <w:vAlign w:val="top"/>
          </w:tcPr>
          <w:p w14:paraId="05E1A7D8">
            <w:pPr>
              <w:pStyle w:val="30"/>
              <w:spacing w:before="15" w:line="189" w:lineRule="auto"/>
              <w:ind w:left="323" w:right="95" w:hanging="189"/>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改善良好的双河</w:t>
            </w:r>
            <w:r>
              <w:rPr>
                <w:color w:val="000000" w:themeColor="text1"/>
                <w:spacing w:val="-7"/>
                <w:u w:val="none" w:color="auto"/>
                <w14:textFill>
                  <w14:solidFill>
                    <w14:schemeClr w14:val="tx1"/>
                  </w14:solidFill>
                </w14:textFill>
              </w:rPr>
              <w:t>区开发环境</w:t>
            </w:r>
          </w:p>
        </w:tc>
        <w:tc>
          <w:tcPr>
            <w:tcW w:w="305" w:type="pct"/>
            <w:vAlign w:val="top"/>
          </w:tcPr>
          <w:p w14:paraId="1A0BB1D7">
            <w:pPr>
              <w:pStyle w:val="30"/>
              <w:spacing w:before="124" w:line="234" w:lineRule="auto"/>
              <w:ind w:left="53"/>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定性</w:t>
            </w:r>
          </w:p>
        </w:tc>
        <w:tc>
          <w:tcPr>
            <w:tcW w:w="357" w:type="pct"/>
            <w:vAlign w:val="top"/>
          </w:tcPr>
          <w:p w14:paraId="6DEE744F">
            <w:pPr>
              <w:rPr>
                <w:rFonts w:ascii="Arial"/>
                <w:color w:val="000000" w:themeColor="text1"/>
                <w:sz w:val="21"/>
                <w:u w:val="none" w:color="auto"/>
                <w14:textFill>
                  <w14:solidFill>
                    <w14:schemeClr w14:val="tx1"/>
                  </w14:solidFill>
                </w14:textFill>
              </w:rPr>
            </w:pPr>
          </w:p>
        </w:tc>
        <w:tc>
          <w:tcPr>
            <w:tcW w:w="338" w:type="pct"/>
            <w:vAlign w:val="top"/>
          </w:tcPr>
          <w:p w14:paraId="0397761D">
            <w:pPr>
              <w:pStyle w:val="30"/>
              <w:spacing w:before="14" w:line="204" w:lineRule="auto"/>
              <w:ind w:left="82"/>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有效</w:t>
            </w:r>
          </w:p>
          <w:p w14:paraId="3A874FD0">
            <w:pPr>
              <w:pStyle w:val="30"/>
              <w:spacing w:before="1" w:line="174" w:lineRule="auto"/>
              <w:ind w:left="93"/>
              <w:rPr>
                <w:color w:val="000000" w:themeColor="text1"/>
                <w:u w:val="none" w:color="auto"/>
                <w14:textFill>
                  <w14:solidFill>
                    <w14:schemeClr w14:val="tx1"/>
                  </w14:solidFill>
                </w14:textFill>
              </w:rPr>
            </w:pPr>
            <w:r>
              <w:rPr>
                <w:color w:val="000000" w:themeColor="text1"/>
                <w:spacing w:val="-13"/>
                <w:u w:val="none" w:color="auto"/>
                <w14:textFill>
                  <w14:solidFill>
                    <w14:schemeClr w14:val="tx1"/>
                  </w14:solidFill>
                </w14:textFill>
              </w:rPr>
              <w:t>改善</w:t>
            </w:r>
          </w:p>
        </w:tc>
        <w:tc>
          <w:tcPr>
            <w:tcW w:w="397" w:type="pct"/>
            <w:vAlign w:val="top"/>
          </w:tcPr>
          <w:p w14:paraId="3175E7C6">
            <w:pPr>
              <w:pStyle w:val="30"/>
              <w:spacing w:before="14" w:line="204" w:lineRule="auto"/>
              <w:ind w:left="127"/>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有效</w:t>
            </w:r>
          </w:p>
          <w:p w14:paraId="4A10C95A">
            <w:pPr>
              <w:pStyle w:val="30"/>
              <w:spacing w:before="1" w:line="174" w:lineRule="auto"/>
              <w:ind w:left="138"/>
              <w:rPr>
                <w:color w:val="000000" w:themeColor="text1"/>
                <w:u w:val="none" w:color="auto"/>
                <w14:textFill>
                  <w14:solidFill>
                    <w14:schemeClr w14:val="tx1"/>
                  </w14:solidFill>
                </w14:textFill>
              </w:rPr>
            </w:pPr>
            <w:r>
              <w:rPr>
                <w:color w:val="000000" w:themeColor="text1"/>
                <w:spacing w:val="-13"/>
                <w:u w:val="none" w:color="auto"/>
                <w14:textFill>
                  <w14:solidFill>
                    <w14:schemeClr w14:val="tx1"/>
                  </w14:solidFill>
                </w14:textFill>
              </w:rPr>
              <w:t>改善</w:t>
            </w:r>
          </w:p>
        </w:tc>
        <w:tc>
          <w:tcPr>
            <w:tcW w:w="305" w:type="pct"/>
            <w:vAlign w:val="top"/>
          </w:tcPr>
          <w:p w14:paraId="714D071A">
            <w:pPr>
              <w:rPr>
                <w:rFonts w:ascii="Arial"/>
                <w:color w:val="000000" w:themeColor="text1"/>
                <w:sz w:val="21"/>
                <w:u w:val="none" w:color="auto"/>
                <w14:textFill>
                  <w14:solidFill>
                    <w14:schemeClr w14:val="tx1"/>
                  </w14:solidFill>
                </w14:textFill>
              </w:rPr>
            </w:pPr>
          </w:p>
        </w:tc>
        <w:tc>
          <w:tcPr>
            <w:tcW w:w="288" w:type="pct"/>
            <w:vAlign w:val="top"/>
          </w:tcPr>
          <w:p w14:paraId="1510BEAB">
            <w:pPr>
              <w:pStyle w:val="30"/>
              <w:spacing w:before="125" w:line="268" w:lineRule="exact"/>
              <w:ind w:left="138"/>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15</w:t>
            </w:r>
          </w:p>
        </w:tc>
        <w:tc>
          <w:tcPr>
            <w:tcW w:w="272" w:type="pct"/>
            <w:vAlign w:val="top"/>
          </w:tcPr>
          <w:p w14:paraId="0E788CFF">
            <w:pPr>
              <w:pStyle w:val="30"/>
              <w:spacing w:before="125" w:line="268" w:lineRule="exact"/>
              <w:ind w:left="127"/>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15</w:t>
            </w:r>
          </w:p>
        </w:tc>
        <w:tc>
          <w:tcPr>
            <w:tcW w:w="355" w:type="pct"/>
            <w:vAlign w:val="top"/>
          </w:tcPr>
          <w:p w14:paraId="1BE985E0">
            <w:pPr>
              <w:rPr>
                <w:rFonts w:ascii="Arial"/>
                <w:color w:val="000000" w:themeColor="text1"/>
                <w:sz w:val="21"/>
                <w:u w:val="none" w:color="auto"/>
                <w14:textFill>
                  <w14:solidFill>
                    <w14:schemeClr w14:val="tx1"/>
                  </w14:solidFill>
                </w14:textFill>
              </w:rPr>
            </w:pPr>
          </w:p>
        </w:tc>
      </w:tr>
      <w:tr w14:paraId="2D9D1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1" w:hRule="atLeast"/>
        </w:trPr>
        <w:tc>
          <w:tcPr>
            <w:tcW w:w="421" w:type="pct"/>
            <w:vMerge w:val="continue"/>
            <w:tcBorders>
              <w:top w:val="nil"/>
            </w:tcBorders>
            <w:vAlign w:val="top"/>
          </w:tcPr>
          <w:p w14:paraId="6A6932D7">
            <w:pPr>
              <w:rPr>
                <w:rFonts w:ascii="Arial"/>
                <w:color w:val="000000" w:themeColor="text1"/>
                <w:sz w:val="21"/>
                <w:u w:val="none" w:color="auto"/>
                <w14:textFill>
                  <w14:solidFill>
                    <w14:schemeClr w14:val="tx1"/>
                  </w14:solidFill>
                </w14:textFill>
              </w:rPr>
            </w:pPr>
          </w:p>
        </w:tc>
        <w:tc>
          <w:tcPr>
            <w:tcW w:w="348" w:type="pct"/>
            <w:vAlign w:val="top"/>
          </w:tcPr>
          <w:p w14:paraId="6CB74A85">
            <w:pPr>
              <w:pStyle w:val="30"/>
              <w:spacing w:before="16" w:line="204" w:lineRule="auto"/>
              <w:ind w:left="8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满意</w:t>
            </w:r>
          </w:p>
          <w:p w14:paraId="6E25DB8A">
            <w:pPr>
              <w:pStyle w:val="30"/>
              <w:spacing w:line="190" w:lineRule="auto"/>
              <w:ind w:left="164" w:right="59" w:hanging="87"/>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度指</w:t>
            </w:r>
            <w:r>
              <w:rPr>
                <w:color w:val="000000" w:themeColor="text1"/>
                <w:u w:val="none" w:color="auto"/>
                <w14:textFill>
                  <w14:solidFill>
                    <w14:schemeClr w14:val="tx1"/>
                  </w14:solidFill>
                </w14:textFill>
              </w:rPr>
              <w:t>标</w:t>
            </w:r>
          </w:p>
        </w:tc>
        <w:tc>
          <w:tcPr>
            <w:tcW w:w="584" w:type="pct"/>
            <w:vAlign w:val="top"/>
          </w:tcPr>
          <w:p w14:paraId="3C42B6AA">
            <w:pPr>
              <w:pStyle w:val="30"/>
              <w:spacing w:before="127" w:line="218" w:lineRule="auto"/>
              <w:ind w:left="168" w:right="50" w:hanging="98"/>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服务对象</w:t>
            </w:r>
            <w:r>
              <w:rPr>
                <w:color w:val="000000" w:themeColor="text1"/>
                <w:spacing w:val="-6"/>
                <w:u w:val="none" w:color="auto"/>
                <w14:textFill>
                  <w14:solidFill>
                    <w14:schemeClr w14:val="tx1"/>
                  </w14:solidFill>
                </w14:textFill>
              </w:rPr>
              <w:t>满意度</w:t>
            </w:r>
          </w:p>
        </w:tc>
        <w:tc>
          <w:tcPr>
            <w:tcW w:w="1025" w:type="pct"/>
            <w:vAlign w:val="top"/>
          </w:tcPr>
          <w:p w14:paraId="72799B49">
            <w:pPr>
              <w:pStyle w:val="30"/>
              <w:spacing w:before="127" w:line="217" w:lineRule="auto"/>
              <w:ind w:left="660" w:right="95" w:hanging="526"/>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改善居民出行条</w:t>
            </w:r>
            <w:r>
              <w:rPr>
                <w:color w:val="000000" w:themeColor="text1"/>
                <w:u w:val="none" w:color="auto"/>
                <w14:textFill>
                  <w14:solidFill>
                    <w14:schemeClr w14:val="tx1"/>
                  </w14:solidFill>
                </w14:textFill>
              </w:rPr>
              <w:t>件</w:t>
            </w:r>
          </w:p>
        </w:tc>
        <w:tc>
          <w:tcPr>
            <w:tcW w:w="305" w:type="pct"/>
            <w:vAlign w:val="top"/>
          </w:tcPr>
          <w:p w14:paraId="2D4FB360">
            <w:pPr>
              <w:pStyle w:val="30"/>
              <w:spacing w:before="237" w:line="234" w:lineRule="auto"/>
              <w:ind w:left="53"/>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定性</w:t>
            </w:r>
          </w:p>
        </w:tc>
        <w:tc>
          <w:tcPr>
            <w:tcW w:w="357" w:type="pct"/>
            <w:vAlign w:val="top"/>
          </w:tcPr>
          <w:p w14:paraId="196B662F">
            <w:pPr>
              <w:rPr>
                <w:rFonts w:ascii="Arial"/>
                <w:color w:val="000000" w:themeColor="text1"/>
                <w:sz w:val="21"/>
                <w:u w:val="none" w:color="auto"/>
                <w14:textFill>
                  <w14:solidFill>
                    <w14:schemeClr w14:val="tx1"/>
                  </w14:solidFill>
                </w14:textFill>
              </w:rPr>
            </w:pPr>
          </w:p>
        </w:tc>
        <w:tc>
          <w:tcPr>
            <w:tcW w:w="338" w:type="pct"/>
            <w:vAlign w:val="top"/>
          </w:tcPr>
          <w:p w14:paraId="12D8A114">
            <w:pPr>
              <w:pStyle w:val="30"/>
              <w:spacing w:before="127" w:line="217" w:lineRule="auto"/>
              <w:ind w:left="92" w:right="44" w:hanging="10"/>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有效</w:t>
            </w:r>
            <w:r>
              <w:rPr>
                <w:color w:val="000000" w:themeColor="text1"/>
                <w:spacing w:val="-13"/>
                <w:u w:val="none" w:color="auto"/>
                <w14:textFill>
                  <w14:solidFill>
                    <w14:schemeClr w14:val="tx1"/>
                  </w14:solidFill>
                </w14:textFill>
              </w:rPr>
              <w:t>改善</w:t>
            </w:r>
          </w:p>
        </w:tc>
        <w:tc>
          <w:tcPr>
            <w:tcW w:w="397" w:type="pct"/>
            <w:vAlign w:val="top"/>
          </w:tcPr>
          <w:p w14:paraId="04B50DC9">
            <w:pPr>
              <w:pStyle w:val="30"/>
              <w:spacing w:before="127" w:line="217" w:lineRule="auto"/>
              <w:ind w:left="137" w:right="86" w:hanging="10"/>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有效</w:t>
            </w:r>
            <w:r>
              <w:rPr>
                <w:color w:val="000000" w:themeColor="text1"/>
                <w:spacing w:val="-13"/>
                <w:u w:val="none" w:color="auto"/>
                <w14:textFill>
                  <w14:solidFill>
                    <w14:schemeClr w14:val="tx1"/>
                  </w14:solidFill>
                </w14:textFill>
              </w:rPr>
              <w:t>改善</w:t>
            </w:r>
          </w:p>
        </w:tc>
        <w:tc>
          <w:tcPr>
            <w:tcW w:w="305" w:type="pct"/>
            <w:vAlign w:val="top"/>
          </w:tcPr>
          <w:p w14:paraId="5DF6D9FF">
            <w:pPr>
              <w:rPr>
                <w:rFonts w:ascii="Arial"/>
                <w:color w:val="000000" w:themeColor="text1"/>
                <w:sz w:val="21"/>
                <w:u w:val="none" w:color="auto"/>
                <w14:textFill>
                  <w14:solidFill>
                    <w14:schemeClr w14:val="tx1"/>
                  </w14:solidFill>
                </w14:textFill>
              </w:rPr>
            </w:pPr>
          </w:p>
        </w:tc>
        <w:tc>
          <w:tcPr>
            <w:tcW w:w="288" w:type="pct"/>
            <w:vAlign w:val="top"/>
          </w:tcPr>
          <w:p w14:paraId="32F939F6">
            <w:pPr>
              <w:pStyle w:val="30"/>
              <w:spacing w:before="238" w:line="269" w:lineRule="exact"/>
              <w:ind w:left="138"/>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10</w:t>
            </w:r>
          </w:p>
        </w:tc>
        <w:tc>
          <w:tcPr>
            <w:tcW w:w="272" w:type="pct"/>
            <w:vAlign w:val="top"/>
          </w:tcPr>
          <w:p w14:paraId="09AAB0A8">
            <w:pPr>
              <w:pStyle w:val="30"/>
              <w:spacing w:before="238" w:line="269" w:lineRule="exact"/>
              <w:ind w:left="127"/>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10</w:t>
            </w:r>
          </w:p>
        </w:tc>
        <w:tc>
          <w:tcPr>
            <w:tcW w:w="355" w:type="pct"/>
            <w:vAlign w:val="top"/>
          </w:tcPr>
          <w:p w14:paraId="3C767216">
            <w:pPr>
              <w:rPr>
                <w:rFonts w:ascii="Arial"/>
                <w:color w:val="000000" w:themeColor="text1"/>
                <w:sz w:val="21"/>
                <w:u w:val="none" w:color="auto"/>
                <w14:textFill>
                  <w14:solidFill>
                    <w14:schemeClr w14:val="tx1"/>
                  </w14:solidFill>
                </w14:textFill>
              </w:rPr>
            </w:pPr>
          </w:p>
        </w:tc>
      </w:tr>
      <w:tr w14:paraId="49FB2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 w:hRule="atLeast"/>
        </w:trPr>
        <w:tc>
          <w:tcPr>
            <w:tcW w:w="4083" w:type="pct"/>
            <w:gridSpan w:val="9"/>
            <w:vAlign w:val="top"/>
          </w:tcPr>
          <w:p w14:paraId="4CDC1636">
            <w:pPr>
              <w:pStyle w:val="30"/>
              <w:spacing w:before="34" w:line="203" w:lineRule="auto"/>
              <w:ind w:left="2797"/>
              <w:rPr>
                <w:color w:val="000000" w:themeColor="text1"/>
                <w:u w:val="none" w:color="auto"/>
                <w14:textFill>
                  <w14:solidFill>
                    <w14:schemeClr w14:val="tx1"/>
                  </w14:solidFill>
                </w14:textFill>
              </w:rPr>
            </w:pPr>
            <w:r>
              <w:rPr>
                <w:color w:val="000000" w:themeColor="text1"/>
                <w:spacing w:val="-12"/>
                <w:u w:val="none" w:color="auto"/>
                <w14:textFill>
                  <w14:solidFill>
                    <w14:schemeClr w14:val="tx1"/>
                  </w14:solidFill>
                </w14:textFill>
              </w:rPr>
              <w:t>总分</w:t>
            </w:r>
          </w:p>
        </w:tc>
        <w:tc>
          <w:tcPr>
            <w:tcW w:w="288" w:type="pct"/>
            <w:vAlign w:val="top"/>
          </w:tcPr>
          <w:p w14:paraId="04D013F0">
            <w:pPr>
              <w:pStyle w:val="30"/>
              <w:spacing w:before="34" w:line="203" w:lineRule="auto"/>
              <w:ind w:left="95"/>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100</w:t>
            </w:r>
          </w:p>
        </w:tc>
        <w:tc>
          <w:tcPr>
            <w:tcW w:w="272" w:type="pct"/>
            <w:vAlign w:val="top"/>
          </w:tcPr>
          <w:p w14:paraId="1933EA45">
            <w:pPr>
              <w:pStyle w:val="30"/>
              <w:spacing w:before="34" w:line="203" w:lineRule="auto"/>
              <w:ind w:left="84"/>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100</w:t>
            </w:r>
          </w:p>
        </w:tc>
        <w:tc>
          <w:tcPr>
            <w:tcW w:w="355" w:type="pct"/>
            <w:vAlign w:val="top"/>
          </w:tcPr>
          <w:p w14:paraId="2113FA8B">
            <w:pPr>
              <w:rPr>
                <w:rFonts w:ascii="Arial"/>
                <w:color w:val="000000" w:themeColor="text1"/>
                <w:sz w:val="21"/>
                <w:u w:val="none" w:color="auto"/>
                <w14:textFill>
                  <w14:solidFill>
                    <w14:schemeClr w14:val="tx1"/>
                  </w14:solidFill>
                </w14:textFill>
              </w:rPr>
            </w:pPr>
          </w:p>
        </w:tc>
      </w:tr>
    </w:tbl>
    <w:p w14:paraId="55732FC5">
      <w:pPr>
        <w:spacing w:line="251" w:lineRule="auto"/>
        <w:rPr>
          <w:rFonts w:ascii="Arial"/>
          <w:color w:val="000000" w:themeColor="text1"/>
          <w:sz w:val="21"/>
          <w:u w:val="none" w:color="auto"/>
          <w14:textFill>
            <w14:solidFill>
              <w14:schemeClr w14:val="tx1"/>
            </w14:solidFill>
          </w14:textFill>
        </w:rPr>
      </w:pPr>
    </w:p>
    <w:p w14:paraId="0177AC27">
      <w:pPr>
        <w:spacing w:line="251" w:lineRule="auto"/>
        <w:rPr>
          <w:rFonts w:ascii="Arial"/>
          <w:color w:val="000000" w:themeColor="text1"/>
          <w:sz w:val="21"/>
          <w:u w:val="none" w:color="auto"/>
          <w14:textFill>
            <w14:solidFill>
              <w14:schemeClr w14:val="tx1"/>
            </w14:solidFill>
          </w14:textFill>
        </w:rPr>
      </w:pPr>
    </w:p>
    <w:p w14:paraId="51D78227">
      <w:pPr>
        <w:spacing w:before="65" w:line="258" w:lineRule="auto"/>
        <w:ind w:left="5168" w:right="1225" w:hanging="1874"/>
        <w:rPr>
          <w:rFonts w:ascii="方正仿宋_GB2312" w:hAnsi="方正仿宋_GB2312" w:eastAsia="方正仿宋_GB2312" w:cs="方正仿宋_GB2312"/>
          <w:color w:val="000000" w:themeColor="text1"/>
          <w:sz w:val="18"/>
          <w:szCs w:val="18"/>
          <w:u w:val="none" w:color="auto"/>
          <w14:textFill>
            <w14:solidFill>
              <w14:schemeClr w14:val="tx1"/>
            </w14:solidFill>
          </w14:textFill>
        </w:rPr>
      </w:pPr>
      <w:r>
        <w:rPr>
          <w:rFonts w:ascii="方正仿宋_GB2312" w:hAnsi="方正仿宋_GB2312" w:eastAsia="方正仿宋_GB2312" w:cs="方正仿宋_GB2312"/>
          <w:color w:val="000000" w:themeColor="text1"/>
          <w:spacing w:val="-1"/>
          <w:sz w:val="18"/>
          <w:szCs w:val="18"/>
          <w:u w:val="none" w:color="auto"/>
          <w14:textFill>
            <w14:solidFill>
              <w14:schemeClr w14:val="tx1"/>
            </w14:solidFill>
          </w14:textFill>
        </w:rPr>
        <w:t>主管部门:巴彦淖尔市住房和城乡建设局（部门）</w:t>
      </w:r>
      <w:r>
        <w:rPr>
          <w:rFonts w:ascii="方正仿宋_GB2312" w:hAnsi="方正仿宋_GB2312" w:eastAsia="方正仿宋_GB2312" w:cs="方正仿宋_GB2312"/>
          <w:color w:val="000000" w:themeColor="text1"/>
          <w:spacing w:val="-9"/>
          <w:sz w:val="18"/>
          <w:szCs w:val="18"/>
          <w:u w:val="none" w:color="auto"/>
          <w14:textFill>
            <w14:solidFill>
              <w14:schemeClr w14:val="tx1"/>
            </w14:solidFill>
          </w14:textFill>
        </w:rPr>
        <w:t>月</w:t>
      </w:r>
      <w:r>
        <w:rPr>
          <w:rFonts w:ascii="方正仿宋_GB2312" w:hAnsi="方正仿宋_GB2312" w:eastAsia="方正仿宋_GB2312" w:cs="方正仿宋_GB2312"/>
          <w:color w:val="000000" w:themeColor="text1"/>
          <w:spacing w:val="11"/>
          <w:sz w:val="18"/>
          <w:szCs w:val="18"/>
          <w:u w:val="none" w:color="auto"/>
          <w14:textFill>
            <w14:solidFill>
              <w14:schemeClr w14:val="tx1"/>
            </w14:solidFill>
          </w14:textFill>
        </w:rPr>
        <w:t xml:space="preserve">    </w:t>
      </w:r>
      <w:r>
        <w:rPr>
          <w:rFonts w:ascii="方正仿宋_GB2312" w:hAnsi="方正仿宋_GB2312" w:eastAsia="方正仿宋_GB2312" w:cs="方正仿宋_GB2312"/>
          <w:color w:val="000000" w:themeColor="text1"/>
          <w:spacing w:val="-9"/>
          <w:sz w:val="18"/>
          <w:szCs w:val="18"/>
          <w:u w:val="none" w:color="auto"/>
          <w14:textFill>
            <w14:solidFill>
              <w14:schemeClr w14:val="tx1"/>
            </w14:solidFill>
          </w14:textFill>
        </w:rPr>
        <w:t>日</w:t>
      </w:r>
    </w:p>
    <w:p w14:paraId="52BF1007">
      <w:pPr>
        <w:spacing w:before="80" w:line="194" w:lineRule="auto"/>
        <w:ind w:left="2606"/>
        <w:outlineLvl w:val="0"/>
        <w:rPr>
          <w:rFonts w:ascii="SimSun" w:hAnsi="SimSun" w:eastAsia="SimSun" w:cs="SimSun"/>
          <w:color w:val="000000" w:themeColor="text1"/>
          <w:sz w:val="39"/>
          <w:szCs w:val="39"/>
          <w:u w:val="none" w:color="auto"/>
          <w14:textFill>
            <w14:solidFill>
              <w14:schemeClr w14:val="tx1"/>
            </w14:solidFill>
          </w14:textFill>
        </w:rPr>
      </w:pPr>
      <w:r>
        <w:rPr>
          <w:rFonts w:ascii="SimSun" w:hAnsi="SimSun" w:eastAsia="SimSun" w:cs="SimSun"/>
          <w:b/>
          <w:bCs/>
          <w:color w:val="000000" w:themeColor="text1"/>
          <w:spacing w:val="6"/>
          <w:sz w:val="39"/>
          <w:szCs w:val="39"/>
          <w:u w:val="none" w:color="auto"/>
          <w14:textFill>
            <w14:solidFill>
              <w14:schemeClr w14:val="tx1"/>
            </w14:solidFill>
          </w14:textFill>
        </w:rPr>
        <w:t>项目支出绩效自评表</w:t>
      </w:r>
    </w:p>
    <w:tbl>
      <w:tblPr>
        <w:tblStyle w:val="31"/>
        <w:tblW w:w="87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25"/>
        <w:gridCol w:w="599"/>
        <w:gridCol w:w="1028"/>
        <w:gridCol w:w="1358"/>
        <w:gridCol w:w="625"/>
        <w:gridCol w:w="625"/>
        <w:gridCol w:w="736"/>
        <w:gridCol w:w="819"/>
        <w:gridCol w:w="661"/>
        <w:gridCol w:w="417"/>
        <w:gridCol w:w="405"/>
        <w:gridCol w:w="966"/>
      </w:tblGrid>
      <w:tr w14:paraId="1DD36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6" w:hRule="atLeast"/>
        </w:trPr>
        <w:tc>
          <w:tcPr>
            <w:tcW w:w="1124" w:type="dxa"/>
            <w:gridSpan w:val="2"/>
            <w:vAlign w:val="top"/>
          </w:tcPr>
          <w:p w14:paraId="44041923">
            <w:pPr>
              <w:pStyle w:val="30"/>
              <w:spacing w:before="17" w:line="208" w:lineRule="auto"/>
              <w:ind w:left="175"/>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项</w:t>
            </w:r>
            <w:r>
              <w:rPr>
                <w:color w:val="000000" w:themeColor="text1"/>
                <w:spacing w:val="-31"/>
                <w:u w:val="none" w:color="auto"/>
                <w14:textFill>
                  <w14:solidFill>
                    <w14:schemeClr w14:val="tx1"/>
                  </w14:solidFill>
                </w14:textFill>
              </w:rPr>
              <w:t xml:space="preserve"> </w:t>
            </w:r>
            <w:r>
              <w:rPr>
                <w:color w:val="000000" w:themeColor="text1"/>
                <w:spacing w:val="-8"/>
                <w:u w:val="none" w:color="auto"/>
                <w14:textFill>
                  <w14:solidFill>
                    <w14:schemeClr w14:val="tx1"/>
                  </w14:solidFill>
                </w14:textFill>
              </w:rPr>
              <w:t>目名称</w:t>
            </w:r>
          </w:p>
        </w:tc>
        <w:tc>
          <w:tcPr>
            <w:tcW w:w="7640" w:type="dxa"/>
            <w:gridSpan w:val="10"/>
            <w:vAlign w:val="top"/>
          </w:tcPr>
          <w:p w14:paraId="78F92BCD">
            <w:pPr>
              <w:pStyle w:val="30"/>
              <w:spacing w:before="17" w:line="208" w:lineRule="auto"/>
              <w:ind w:left="2637"/>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金川大桥及连接线道路工程</w:t>
            </w:r>
          </w:p>
        </w:tc>
      </w:tr>
      <w:tr w14:paraId="070B9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124" w:type="dxa"/>
            <w:gridSpan w:val="2"/>
            <w:vAlign w:val="top"/>
          </w:tcPr>
          <w:p w14:paraId="3B2E34F7">
            <w:pPr>
              <w:pStyle w:val="30"/>
              <w:spacing w:before="7" w:line="208" w:lineRule="auto"/>
              <w:ind w:left="182"/>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主管部门</w:t>
            </w:r>
          </w:p>
        </w:tc>
        <w:tc>
          <w:tcPr>
            <w:tcW w:w="3636" w:type="dxa"/>
            <w:gridSpan w:val="4"/>
            <w:vAlign w:val="top"/>
          </w:tcPr>
          <w:p w14:paraId="3857EA9B">
            <w:pPr>
              <w:pStyle w:val="30"/>
              <w:spacing w:before="7" w:line="208" w:lineRule="auto"/>
              <w:ind w:left="166"/>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巴彦淖尔市住房和城乡建设局（部门）</w:t>
            </w:r>
          </w:p>
        </w:tc>
        <w:tc>
          <w:tcPr>
            <w:tcW w:w="1555" w:type="dxa"/>
            <w:gridSpan w:val="2"/>
            <w:vAlign w:val="top"/>
          </w:tcPr>
          <w:p w14:paraId="3AD9B6DB">
            <w:pPr>
              <w:pStyle w:val="30"/>
              <w:spacing w:before="7" w:line="208" w:lineRule="auto"/>
              <w:ind w:left="403"/>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实施单位</w:t>
            </w:r>
          </w:p>
        </w:tc>
        <w:tc>
          <w:tcPr>
            <w:tcW w:w="2449" w:type="dxa"/>
            <w:gridSpan w:val="4"/>
            <w:vAlign w:val="top"/>
          </w:tcPr>
          <w:p w14:paraId="7CEC4EA3">
            <w:pPr>
              <w:pStyle w:val="30"/>
              <w:spacing w:line="214" w:lineRule="auto"/>
              <w:ind w:left="171"/>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巴彦淖尔市城市新区发展</w:t>
            </w:r>
          </w:p>
        </w:tc>
      </w:tr>
      <w:tr w14:paraId="0D73B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124" w:type="dxa"/>
            <w:gridSpan w:val="2"/>
            <w:vMerge w:val="restart"/>
            <w:tcBorders>
              <w:bottom w:val="nil"/>
            </w:tcBorders>
            <w:vAlign w:val="top"/>
          </w:tcPr>
          <w:p w14:paraId="0CCEBE0C">
            <w:pPr>
              <w:spacing w:line="347" w:lineRule="auto"/>
              <w:rPr>
                <w:rFonts w:ascii="Arial"/>
                <w:color w:val="000000" w:themeColor="text1"/>
                <w:sz w:val="21"/>
                <w:u w:val="none" w:color="auto"/>
                <w14:textFill>
                  <w14:solidFill>
                    <w14:schemeClr w14:val="tx1"/>
                  </w14:solidFill>
                </w14:textFill>
              </w:rPr>
            </w:pPr>
          </w:p>
          <w:p w14:paraId="0C7049B7">
            <w:pPr>
              <w:spacing w:line="347" w:lineRule="auto"/>
              <w:rPr>
                <w:rFonts w:ascii="Arial"/>
                <w:color w:val="000000" w:themeColor="text1"/>
                <w:sz w:val="21"/>
                <w:u w:val="none" w:color="auto"/>
                <w14:textFill>
                  <w14:solidFill>
                    <w14:schemeClr w14:val="tx1"/>
                  </w14:solidFill>
                </w14:textFill>
              </w:rPr>
            </w:pPr>
          </w:p>
          <w:p w14:paraId="7E36E690">
            <w:pPr>
              <w:pStyle w:val="30"/>
              <w:spacing w:before="69" w:line="227" w:lineRule="auto"/>
              <w:ind w:left="158" w:right="145" w:firstLine="16"/>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项目资金</w:t>
            </w:r>
            <w:r>
              <w:rPr>
                <w:color w:val="000000" w:themeColor="text1"/>
                <w:spacing w:val="11"/>
                <w:u w:val="none" w:color="auto"/>
                <w14:textFill>
                  <w14:solidFill>
                    <w14:schemeClr w14:val="tx1"/>
                  </w14:solidFill>
                </w14:textFill>
              </w:rPr>
              <w:t>（万元）</w:t>
            </w:r>
          </w:p>
        </w:tc>
        <w:tc>
          <w:tcPr>
            <w:tcW w:w="1028" w:type="dxa"/>
            <w:vAlign w:val="top"/>
          </w:tcPr>
          <w:p w14:paraId="3C1AB3DD">
            <w:pPr>
              <w:rPr>
                <w:rFonts w:ascii="Arial"/>
                <w:color w:val="000000" w:themeColor="text1"/>
                <w:sz w:val="21"/>
                <w:u w:val="none" w:color="auto"/>
                <w14:textFill>
                  <w14:solidFill>
                    <w14:schemeClr w14:val="tx1"/>
                  </w14:solidFill>
                </w14:textFill>
              </w:rPr>
            </w:pPr>
          </w:p>
        </w:tc>
        <w:tc>
          <w:tcPr>
            <w:tcW w:w="1358" w:type="dxa"/>
            <w:vAlign w:val="top"/>
          </w:tcPr>
          <w:p w14:paraId="02E0C13A">
            <w:pPr>
              <w:pStyle w:val="30"/>
              <w:spacing w:before="8" w:line="207" w:lineRule="auto"/>
              <w:ind w:left="191"/>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年初预算数</w:t>
            </w:r>
          </w:p>
        </w:tc>
        <w:tc>
          <w:tcPr>
            <w:tcW w:w="1250" w:type="dxa"/>
            <w:gridSpan w:val="2"/>
            <w:vAlign w:val="top"/>
          </w:tcPr>
          <w:p w14:paraId="02B2996F">
            <w:pPr>
              <w:pStyle w:val="30"/>
              <w:spacing w:before="8" w:line="207" w:lineRule="auto"/>
              <w:ind w:left="138"/>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全年预算数</w:t>
            </w:r>
          </w:p>
        </w:tc>
        <w:tc>
          <w:tcPr>
            <w:tcW w:w="1555" w:type="dxa"/>
            <w:gridSpan w:val="2"/>
            <w:vAlign w:val="top"/>
          </w:tcPr>
          <w:p w14:paraId="7208C937">
            <w:pPr>
              <w:pStyle w:val="30"/>
              <w:spacing w:before="8" w:line="207" w:lineRule="auto"/>
              <w:ind w:left="295"/>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全年执行数</w:t>
            </w:r>
          </w:p>
        </w:tc>
        <w:tc>
          <w:tcPr>
            <w:tcW w:w="661" w:type="dxa"/>
            <w:vAlign w:val="top"/>
          </w:tcPr>
          <w:p w14:paraId="008144DC">
            <w:pPr>
              <w:pStyle w:val="30"/>
              <w:spacing w:before="8" w:line="207" w:lineRule="auto"/>
              <w:ind w:left="147"/>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分值</w:t>
            </w:r>
          </w:p>
        </w:tc>
        <w:tc>
          <w:tcPr>
            <w:tcW w:w="822" w:type="dxa"/>
            <w:gridSpan w:val="2"/>
            <w:vAlign w:val="top"/>
          </w:tcPr>
          <w:p w14:paraId="39DB7D63">
            <w:pPr>
              <w:pStyle w:val="30"/>
              <w:spacing w:line="214" w:lineRule="auto"/>
              <w:ind w:left="132"/>
              <w:rPr>
                <w:color w:val="000000" w:themeColor="text1"/>
                <w:u w:val="none" w:color="auto"/>
                <w14:textFill>
                  <w14:solidFill>
                    <w14:schemeClr w14:val="tx1"/>
                  </w14:solidFill>
                </w14:textFill>
              </w:rPr>
            </w:pPr>
            <w:r>
              <w:rPr>
                <w:color w:val="000000" w:themeColor="text1"/>
                <w:spacing w:val="-34"/>
                <w:w w:val="99"/>
                <w:u w:val="none" w:color="auto"/>
                <w14:textFill>
                  <w14:solidFill>
                    <w14:schemeClr w14:val="tx1"/>
                  </w14:solidFill>
                </w14:textFill>
              </w:rPr>
              <w:t>执行中率</w:t>
            </w:r>
          </w:p>
        </w:tc>
        <w:tc>
          <w:tcPr>
            <w:tcW w:w="966" w:type="dxa"/>
            <w:vAlign w:val="top"/>
          </w:tcPr>
          <w:p w14:paraId="7BF85E17">
            <w:pPr>
              <w:pStyle w:val="30"/>
              <w:spacing w:before="8" w:line="207" w:lineRule="auto"/>
              <w:ind w:left="299"/>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得分</w:t>
            </w:r>
          </w:p>
        </w:tc>
      </w:tr>
      <w:tr w14:paraId="7E2A7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1124" w:type="dxa"/>
            <w:gridSpan w:val="2"/>
            <w:vMerge w:val="continue"/>
            <w:tcBorders>
              <w:top w:val="nil"/>
              <w:bottom w:val="nil"/>
            </w:tcBorders>
            <w:vAlign w:val="top"/>
          </w:tcPr>
          <w:p w14:paraId="3C5D3699">
            <w:pPr>
              <w:rPr>
                <w:rFonts w:ascii="Arial"/>
                <w:color w:val="000000" w:themeColor="text1"/>
                <w:sz w:val="21"/>
                <w:u w:val="none" w:color="auto"/>
                <w14:textFill>
                  <w14:solidFill>
                    <w14:schemeClr w14:val="tx1"/>
                  </w14:solidFill>
                </w14:textFill>
              </w:rPr>
            </w:pPr>
          </w:p>
        </w:tc>
        <w:tc>
          <w:tcPr>
            <w:tcW w:w="1028" w:type="dxa"/>
            <w:vAlign w:val="top"/>
          </w:tcPr>
          <w:p w14:paraId="0ECA20F1">
            <w:pPr>
              <w:pStyle w:val="30"/>
              <w:spacing w:before="1" w:line="205" w:lineRule="auto"/>
              <w:ind w:left="336" w:right="103" w:hanging="212"/>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年度资金</w:t>
            </w:r>
            <w:r>
              <w:rPr>
                <w:color w:val="000000" w:themeColor="text1"/>
                <w:spacing w:val="-5"/>
                <w:u w:val="none" w:color="auto"/>
                <w14:textFill>
                  <w14:solidFill>
                    <w14:schemeClr w14:val="tx1"/>
                  </w14:solidFill>
                </w14:textFill>
              </w:rPr>
              <w:t>总额</w:t>
            </w:r>
          </w:p>
        </w:tc>
        <w:tc>
          <w:tcPr>
            <w:tcW w:w="1358" w:type="dxa"/>
            <w:vAlign w:val="top"/>
          </w:tcPr>
          <w:p w14:paraId="2A6E17F6">
            <w:pPr>
              <w:pStyle w:val="30"/>
              <w:spacing w:before="122" w:line="294" w:lineRule="exact"/>
              <w:ind w:left="63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0</w:t>
            </w:r>
          </w:p>
        </w:tc>
        <w:tc>
          <w:tcPr>
            <w:tcW w:w="1250" w:type="dxa"/>
            <w:gridSpan w:val="2"/>
            <w:vAlign w:val="top"/>
          </w:tcPr>
          <w:p w14:paraId="4EBED7AC">
            <w:pPr>
              <w:pStyle w:val="30"/>
              <w:spacing w:before="122" w:line="294" w:lineRule="exact"/>
              <w:ind w:left="483"/>
              <w:rPr>
                <w:color w:val="000000" w:themeColor="text1"/>
                <w:u w:val="none" w:color="auto"/>
                <w14:textFill>
                  <w14:solidFill>
                    <w14:schemeClr w14:val="tx1"/>
                  </w14:solidFill>
                </w14:textFill>
              </w:rPr>
            </w:pPr>
            <w:r>
              <w:rPr>
                <w:color w:val="000000" w:themeColor="text1"/>
                <w:spacing w:val="2"/>
                <w:position w:val="2"/>
                <w:u w:val="none" w:color="auto"/>
                <w14:textFill>
                  <w14:solidFill>
                    <w14:schemeClr w14:val="tx1"/>
                  </w14:solidFill>
                </w14:textFill>
              </w:rPr>
              <w:t>400</w:t>
            </w:r>
          </w:p>
        </w:tc>
        <w:tc>
          <w:tcPr>
            <w:tcW w:w="1555" w:type="dxa"/>
            <w:gridSpan w:val="2"/>
            <w:vAlign w:val="top"/>
          </w:tcPr>
          <w:p w14:paraId="292294E9">
            <w:pPr>
              <w:pStyle w:val="30"/>
              <w:spacing w:before="122" w:line="294" w:lineRule="exact"/>
              <w:ind w:left="640"/>
              <w:rPr>
                <w:color w:val="000000" w:themeColor="text1"/>
                <w:u w:val="none" w:color="auto"/>
                <w14:textFill>
                  <w14:solidFill>
                    <w14:schemeClr w14:val="tx1"/>
                  </w14:solidFill>
                </w14:textFill>
              </w:rPr>
            </w:pPr>
            <w:r>
              <w:rPr>
                <w:color w:val="000000" w:themeColor="text1"/>
                <w:spacing w:val="2"/>
                <w:position w:val="2"/>
                <w:u w:val="none" w:color="auto"/>
                <w14:textFill>
                  <w14:solidFill>
                    <w14:schemeClr w14:val="tx1"/>
                  </w14:solidFill>
                </w14:textFill>
              </w:rPr>
              <w:t>400</w:t>
            </w:r>
          </w:p>
        </w:tc>
        <w:tc>
          <w:tcPr>
            <w:tcW w:w="661" w:type="dxa"/>
            <w:vAlign w:val="top"/>
          </w:tcPr>
          <w:p w14:paraId="5E6A9006">
            <w:pPr>
              <w:pStyle w:val="30"/>
              <w:spacing w:before="122" w:line="294" w:lineRule="exact"/>
              <w:ind w:left="247"/>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822" w:type="dxa"/>
            <w:gridSpan w:val="2"/>
            <w:vAlign w:val="top"/>
          </w:tcPr>
          <w:p w14:paraId="214BC845">
            <w:pPr>
              <w:pStyle w:val="30"/>
              <w:spacing w:line="195" w:lineRule="auto"/>
              <w:ind w:left="161"/>
              <w:rPr>
                <w:color w:val="000000" w:themeColor="text1"/>
                <w:sz w:val="13"/>
                <w:szCs w:val="13"/>
                <w:u w:val="none" w:color="auto"/>
                <w14:textFill>
                  <w14:solidFill>
                    <w14:schemeClr w14:val="tx1"/>
                  </w14:solidFill>
                </w14:textFill>
              </w:rPr>
            </w:pPr>
            <w:r>
              <w:rPr>
                <w:color w:val="000000" w:themeColor="text1"/>
                <w:spacing w:val="50"/>
                <w:sz w:val="13"/>
                <w:szCs w:val="13"/>
                <w:u w:val="none" w:color="auto"/>
                <w14:textFill>
                  <w14:solidFill>
                    <w14:schemeClr w14:val="tx1"/>
                  </w14:solidFill>
                </w14:textFill>
              </w:rPr>
              <w:t>（%）</w:t>
            </w:r>
          </w:p>
          <w:p w14:paraId="38CC4642">
            <w:pPr>
              <w:pStyle w:val="30"/>
              <w:spacing w:line="230" w:lineRule="auto"/>
              <w:ind w:left="28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100</w:t>
            </w:r>
          </w:p>
        </w:tc>
        <w:tc>
          <w:tcPr>
            <w:tcW w:w="966" w:type="dxa"/>
            <w:vAlign w:val="top"/>
          </w:tcPr>
          <w:p w14:paraId="7BF98134">
            <w:pPr>
              <w:pStyle w:val="30"/>
              <w:spacing w:before="122" w:line="294" w:lineRule="exact"/>
              <w:ind w:left="39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r>
      <w:tr w14:paraId="3D877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1124" w:type="dxa"/>
            <w:gridSpan w:val="2"/>
            <w:vMerge w:val="continue"/>
            <w:tcBorders>
              <w:top w:val="nil"/>
              <w:bottom w:val="nil"/>
            </w:tcBorders>
            <w:vAlign w:val="top"/>
          </w:tcPr>
          <w:p w14:paraId="244430C2">
            <w:pPr>
              <w:rPr>
                <w:rFonts w:ascii="Arial"/>
                <w:color w:val="000000" w:themeColor="text1"/>
                <w:sz w:val="21"/>
                <w:u w:val="none" w:color="auto"/>
                <w14:textFill>
                  <w14:solidFill>
                    <w14:schemeClr w14:val="tx1"/>
                  </w14:solidFill>
                </w14:textFill>
              </w:rPr>
            </w:pPr>
          </w:p>
        </w:tc>
        <w:tc>
          <w:tcPr>
            <w:tcW w:w="1028" w:type="dxa"/>
            <w:vAlign w:val="top"/>
          </w:tcPr>
          <w:p w14:paraId="03916D83">
            <w:pPr>
              <w:pStyle w:val="30"/>
              <w:spacing w:before="1" w:line="205" w:lineRule="auto"/>
              <w:ind w:left="223" w:right="105" w:hanging="97"/>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其中</w:t>
            </w:r>
            <w:r>
              <w:rPr>
                <w:color w:val="000000" w:themeColor="text1"/>
                <w:spacing w:val="-49"/>
                <w:u w:val="none" w:color="auto"/>
                <w14:textFill>
                  <w14:solidFill>
                    <w14:schemeClr w14:val="tx1"/>
                  </w14:solidFill>
                </w14:textFill>
              </w:rPr>
              <w:t xml:space="preserve"> </w:t>
            </w:r>
            <w:r>
              <w:rPr>
                <w:color w:val="000000" w:themeColor="text1"/>
                <w:spacing w:val="-4"/>
                <w:u w:val="none" w:color="auto"/>
                <w14:textFill>
                  <w14:solidFill>
                    <w14:schemeClr w14:val="tx1"/>
                  </w14:solidFill>
                </w14:textFill>
              </w:rPr>
              <w:t>：财</w:t>
            </w:r>
            <w:r>
              <w:rPr>
                <w:color w:val="000000" w:themeColor="text1"/>
                <w:spacing w:val="5"/>
                <w:u w:val="none" w:color="auto"/>
                <w14:textFill>
                  <w14:solidFill>
                    <w14:schemeClr w14:val="tx1"/>
                  </w14:solidFill>
                </w14:textFill>
              </w:rPr>
              <w:t>政拨款</w:t>
            </w:r>
          </w:p>
        </w:tc>
        <w:tc>
          <w:tcPr>
            <w:tcW w:w="1358" w:type="dxa"/>
            <w:vAlign w:val="top"/>
          </w:tcPr>
          <w:p w14:paraId="4874007E">
            <w:pPr>
              <w:pStyle w:val="30"/>
              <w:spacing w:before="122" w:line="294" w:lineRule="exact"/>
              <w:ind w:left="63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0</w:t>
            </w:r>
          </w:p>
        </w:tc>
        <w:tc>
          <w:tcPr>
            <w:tcW w:w="1250" w:type="dxa"/>
            <w:gridSpan w:val="2"/>
            <w:vAlign w:val="top"/>
          </w:tcPr>
          <w:p w14:paraId="7A3CBBEB">
            <w:pPr>
              <w:pStyle w:val="30"/>
              <w:spacing w:before="122" w:line="294" w:lineRule="exact"/>
              <w:ind w:left="483"/>
              <w:rPr>
                <w:color w:val="000000" w:themeColor="text1"/>
                <w:u w:val="none" w:color="auto"/>
                <w14:textFill>
                  <w14:solidFill>
                    <w14:schemeClr w14:val="tx1"/>
                  </w14:solidFill>
                </w14:textFill>
              </w:rPr>
            </w:pPr>
            <w:r>
              <w:rPr>
                <w:color w:val="000000" w:themeColor="text1"/>
                <w:spacing w:val="2"/>
                <w:position w:val="2"/>
                <w:u w:val="none" w:color="auto"/>
                <w14:textFill>
                  <w14:solidFill>
                    <w14:schemeClr w14:val="tx1"/>
                  </w14:solidFill>
                </w14:textFill>
              </w:rPr>
              <w:t>400</w:t>
            </w:r>
          </w:p>
        </w:tc>
        <w:tc>
          <w:tcPr>
            <w:tcW w:w="1555" w:type="dxa"/>
            <w:gridSpan w:val="2"/>
            <w:vAlign w:val="top"/>
          </w:tcPr>
          <w:p w14:paraId="6F55A5F0">
            <w:pPr>
              <w:pStyle w:val="30"/>
              <w:spacing w:before="122" w:line="294" w:lineRule="exact"/>
              <w:ind w:left="640"/>
              <w:rPr>
                <w:color w:val="000000" w:themeColor="text1"/>
                <w:u w:val="none" w:color="auto"/>
                <w14:textFill>
                  <w14:solidFill>
                    <w14:schemeClr w14:val="tx1"/>
                  </w14:solidFill>
                </w14:textFill>
              </w:rPr>
            </w:pPr>
            <w:r>
              <w:rPr>
                <w:color w:val="000000" w:themeColor="text1"/>
                <w:spacing w:val="2"/>
                <w:position w:val="2"/>
                <w:u w:val="none" w:color="auto"/>
                <w14:textFill>
                  <w14:solidFill>
                    <w14:schemeClr w14:val="tx1"/>
                  </w14:solidFill>
                </w14:textFill>
              </w:rPr>
              <w:t>400</w:t>
            </w:r>
          </w:p>
        </w:tc>
        <w:tc>
          <w:tcPr>
            <w:tcW w:w="661" w:type="dxa"/>
            <w:vAlign w:val="top"/>
          </w:tcPr>
          <w:p w14:paraId="77975A44">
            <w:pPr>
              <w:pStyle w:val="30"/>
              <w:spacing w:before="221" w:line="149" w:lineRule="exact"/>
              <w:ind w:left="137"/>
              <w:rPr>
                <w:color w:val="000000" w:themeColor="text1"/>
                <w:u w:val="none" w:color="auto"/>
                <w14:textFill>
                  <w14:solidFill>
                    <w14:schemeClr w14:val="tx1"/>
                  </w14:solidFill>
                </w14:textFill>
              </w:rPr>
            </w:pPr>
            <w:r>
              <w:rPr>
                <w:color w:val="000000" w:themeColor="text1"/>
                <w:spacing w:val="9"/>
                <w:position w:val="-2"/>
                <w:u w:val="none" w:color="auto"/>
                <w14:textFill>
                  <w14:solidFill>
                    <w14:schemeClr w14:val="tx1"/>
                  </w14:solidFill>
                </w14:textFill>
              </w:rPr>
              <w:t>——</w:t>
            </w:r>
          </w:p>
        </w:tc>
        <w:tc>
          <w:tcPr>
            <w:tcW w:w="822" w:type="dxa"/>
            <w:gridSpan w:val="2"/>
            <w:vAlign w:val="top"/>
          </w:tcPr>
          <w:p w14:paraId="3DCCD513">
            <w:pPr>
              <w:pStyle w:val="30"/>
              <w:spacing w:before="122" w:line="294" w:lineRule="exact"/>
              <w:ind w:left="282"/>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100</w:t>
            </w:r>
          </w:p>
        </w:tc>
        <w:tc>
          <w:tcPr>
            <w:tcW w:w="966" w:type="dxa"/>
            <w:vAlign w:val="top"/>
          </w:tcPr>
          <w:p w14:paraId="4BA2816A">
            <w:pPr>
              <w:pStyle w:val="30"/>
              <w:spacing w:before="221" w:line="149" w:lineRule="exact"/>
              <w:ind w:left="289"/>
              <w:rPr>
                <w:color w:val="000000" w:themeColor="text1"/>
                <w:u w:val="none" w:color="auto"/>
                <w14:textFill>
                  <w14:solidFill>
                    <w14:schemeClr w14:val="tx1"/>
                  </w14:solidFill>
                </w14:textFill>
              </w:rPr>
            </w:pPr>
            <w:r>
              <w:rPr>
                <w:color w:val="000000" w:themeColor="text1"/>
                <w:spacing w:val="9"/>
                <w:position w:val="-2"/>
                <w:u w:val="none" w:color="auto"/>
                <w14:textFill>
                  <w14:solidFill>
                    <w14:schemeClr w14:val="tx1"/>
                  </w14:solidFill>
                </w14:textFill>
              </w:rPr>
              <w:t>——</w:t>
            </w:r>
          </w:p>
        </w:tc>
      </w:tr>
      <w:tr w14:paraId="414E3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1124" w:type="dxa"/>
            <w:gridSpan w:val="2"/>
            <w:vMerge w:val="continue"/>
            <w:tcBorders>
              <w:top w:val="nil"/>
              <w:bottom w:val="nil"/>
            </w:tcBorders>
            <w:vAlign w:val="top"/>
          </w:tcPr>
          <w:p w14:paraId="403D2732">
            <w:pPr>
              <w:rPr>
                <w:rFonts w:ascii="Arial"/>
                <w:color w:val="000000" w:themeColor="text1"/>
                <w:sz w:val="21"/>
                <w:u w:val="none" w:color="auto"/>
                <w14:textFill>
                  <w14:solidFill>
                    <w14:schemeClr w14:val="tx1"/>
                  </w14:solidFill>
                </w14:textFill>
              </w:rPr>
            </w:pPr>
          </w:p>
        </w:tc>
        <w:tc>
          <w:tcPr>
            <w:tcW w:w="1028" w:type="dxa"/>
            <w:vAlign w:val="top"/>
          </w:tcPr>
          <w:p w14:paraId="7DF68808">
            <w:pPr>
              <w:pStyle w:val="30"/>
              <w:spacing w:before="3" w:line="204" w:lineRule="auto"/>
              <w:ind w:left="329" w:right="103" w:hanging="200"/>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上年结转</w:t>
            </w:r>
            <w:r>
              <w:rPr>
                <w:color w:val="000000" w:themeColor="text1"/>
                <w:spacing w:val="-1"/>
                <w:u w:val="none" w:color="auto"/>
                <w14:textFill>
                  <w14:solidFill>
                    <w14:schemeClr w14:val="tx1"/>
                  </w14:solidFill>
                </w14:textFill>
              </w:rPr>
              <w:t>资金</w:t>
            </w:r>
          </w:p>
        </w:tc>
        <w:tc>
          <w:tcPr>
            <w:tcW w:w="1358" w:type="dxa"/>
            <w:vAlign w:val="top"/>
          </w:tcPr>
          <w:p w14:paraId="40A07E8D">
            <w:pPr>
              <w:rPr>
                <w:rFonts w:ascii="Arial"/>
                <w:color w:val="000000" w:themeColor="text1"/>
                <w:sz w:val="21"/>
                <w:u w:val="none" w:color="auto"/>
                <w14:textFill>
                  <w14:solidFill>
                    <w14:schemeClr w14:val="tx1"/>
                  </w14:solidFill>
                </w14:textFill>
              </w:rPr>
            </w:pPr>
          </w:p>
        </w:tc>
        <w:tc>
          <w:tcPr>
            <w:tcW w:w="1250" w:type="dxa"/>
            <w:gridSpan w:val="2"/>
            <w:vAlign w:val="top"/>
          </w:tcPr>
          <w:p w14:paraId="32B6EC8B">
            <w:pPr>
              <w:rPr>
                <w:rFonts w:ascii="Arial"/>
                <w:color w:val="000000" w:themeColor="text1"/>
                <w:sz w:val="21"/>
                <w:u w:val="none" w:color="auto"/>
                <w14:textFill>
                  <w14:solidFill>
                    <w14:schemeClr w14:val="tx1"/>
                  </w14:solidFill>
                </w14:textFill>
              </w:rPr>
            </w:pPr>
          </w:p>
        </w:tc>
        <w:tc>
          <w:tcPr>
            <w:tcW w:w="1555" w:type="dxa"/>
            <w:gridSpan w:val="2"/>
            <w:vAlign w:val="top"/>
          </w:tcPr>
          <w:p w14:paraId="0382DC58">
            <w:pPr>
              <w:rPr>
                <w:rFonts w:ascii="Arial"/>
                <w:color w:val="000000" w:themeColor="text1"/>
                <w:sz w:val="21"/>
                <w:u w:val="none" w:color="auto"/>
                <w14:textFill>
                  <w14:solidFill>
                    <w14:schemeClr w14:val="tx1"/>
                  </w14:solidFill>
                </w14:textFill>
              </w:rPr>
            </w:pPr>
          </w:p>
        </w:tc>
        <w:tc>
          <w:tcPr>
            <w:tcW w:w="661" w:type="dxa"/>
            <w:vAlign w:val="top"/>
          </w:tcPr>
          <w:p w14:paraId="7A24888D">
            <w:pPr>
              <w:pStyle w:val="30"/>
              <w:spacing w:before="222" w:line="149" w:lineRule="exact"/>
              <w:ind w:left="137"/>
              <w:rPr>
                <w:color w:val="000000" w:themeColor="text1"/>
                <w:u w:val="none" w:color="auto"/>
                <w14:textFill>
                  <w14:solidFill>
                    <w14:schemeClr w14:val="tx1"/>
                  </w14:solidFill>
                </w14:textFill>
              </w:rPr>
            </w:pPr>
            <w:r>
              <w:rPr>
                <w:color w:val="000000" w:themeColor="text1"/>
                <w:spacing w:val="9"/>
                <w:position w:val="-2"/>
                <w:u w:val="none" w:color="auto"/>
                <w14:textFill>
                  <w14:solidFill>
                    <w14:schemeClr w14:val="tx1"/>
                  </w14:solidFill>
                </w14:textFill>
              </w:rPr>
              <w:t>——</w:t>
            </w:r>
          </w:p>
        </w:tc>
        <w:tc>
          <w:tcPr>
            <w:tcW w:w="822" w:type="dxa"/>
            <w:gridSpan w:val="2"/>
            <w:vAlign w:val="top"/>
          </w:tcPr>
          <w:p w14:paraId="6C374A71">
            <w:pPr>
              <w:rPr>
                <w:rFonts w:ascii="Arial"/>
                <w:color w:val="000000" w:themeColor="text1"/>
                <w:sz w:val="21"/>
                <w:u w:val="none" w:color="auto"/>
                <w14:textFill>
                  <w14:solidFill>
                    <w14:schemeClr w14:val="tx1"/>
                  </w14:solidFill>
                </w14:textFill>
              </w:rPr>
            </w:pPr>
          </w:p>
        </w:tc>
        <w:tc>
          <w:tcPr>
            <w:tcW w:w="966" w:type="dxa"/>
            <w:vAlign w:val="top"/>
          </w:tcPr>
          <w:p w14:paraId="4C8C665C">
            <w:pPr>
              <w:pStyle w:val="30"/>
              <w:spacing w:before="222" w:line="149" w:lineRule="exact"/>
              <w:ind w:left="289"/>
              <w:rPr>
                <w:color w:val="000000" w:themeColor="text1"/>
                <w:u w:val="none" w:color="auto"/>
                <w14:textFill>
                  <w14:solidFill>
                    <w14:schemeClr w14:val="tx1"/>
                  </w14:solidFill>
                </w14:textFill>
              </w:rPr>
            </w:pPr>
            <w:r>
              <w:rPr>
                <w:color w:val="000000" w:themeColor="text1"/>
                <w:spacing w:val="9"/>
                <w:position w:val="-2"/>
                <w:u w:val="none" w:color="auto"/>
                <w14:textFill>
                  <w14:solidFill>
                    <w14:schemeClr w14:val="tx1"/>
                  </w14:solidFill>
                </w14:textFill>
              </w:rPr>
              <w:t>——</w:t>
            </w:r>
          </w:p>
        </w:tc>
      </w:tr>
      <w:tr w14:paraId="38892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124" w:type="dxa"/>
            <w:gridSpan w:val="2"/>
            <w:vMerge w:val="continue"/>
            <w:tcBorders>
              <w:top w:val="nil"/>
            </w:tcBorders>
            <w:vAlign w:val="top"/>
          </w:tcPr>
          <w:p w14:paraId="3BDA64D3">
            <w:pPr>
              <w:rPr>
                <w:rFonts w:ascii="Arial"/>
                <w:color w:val="000000" w:themeColor="text1"/>
                <w:sz w:val="21"/>
                <w:u w:val="none" w:color="auto"/>
                <w14:textFill>
                  <w14:solidFill>
                    <w14:schemeClr w14:val="tx1"/>
                  </w14:solidFill>
                </w14:textFill>
              </w:rPr>
            </w:pPr>
          </w:p>
        </w:tc>
        <w:tc>
          <w:tcPr>
            <w:tcW w:w="1028" w:type="dxa"/>
            <w:vAlign w:val="top"/>
          </w:tcPr>
          <w:p w14:paraId="1EBE5C34">
            <w:pPr>
              <w:pStyle w:val="30"/>
              <w:spacing w:before="11" w:line="205" w:lineRule="auto"/>
              <w:ind w:left="126"/>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其他资金</w:t>
            </w:r>
          </w:p>
        </w:tc>
        <w:tc>
          <w:tcPr>
            <w:tcW w:w="1358" w:type="dxa"/>
            <w:vAlign w:val="top"/>
          </w:tcPr>
          <w:p w14:paraId="27CF463C">
            <w:pPr>
              <w:pStyle w:val="30"/>
              <w:spacing w:before="11" w:line="205" w:lineRule="auto"/>
              <w:ind w:left="637"/>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0</w:t>
            </w:r>
          </w:p>
        </w:tc>
        <w:tc>
          <w:tcPr>
            <w:tcW w:w="1250" w:type="dxa"/>
            <w:gridSpan w:val="2"/>
            <w:vAlign w:val="top"/>
          </w:tcPr>
          <w:p w14:paraId="577B0469">
            <w:pPr>
              <w:pStyle w:val="30"/>
              <w:spacing w:before="11" w:line="205" w:lineRule="auto"/>
              <w:ind w:left="585"/>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0</w:t>
            </w:r>
          </w:p>
        </w:tc>
        <w:tc>
          <w:tcPr>
            <w:tcW w:w="1555" w:type="dxa"/>
            <w:gridSpan w:val="2"/>
            <w:vAlign w:val="top"/>
          </w:tcPr>
          <w:p w14:paraId="4B88A379">
            <w:pPr>
              <w:pStyle w:val="30"/>
              <w:spacing w:before="11" w:line="205" w:lineRule="auto"/>
              <w:ind w:left="741"/>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0</w:t>
            </w:r>
          </w:p>
        </w:tc>
        <w:tc>
          <w:tcPr>
            <w:tcW w:w="661" w:type="dxa"/>
            <w:vAlign w:val="top"/>
          </w:tcPr>
          <w:p w14:paraId="13CF88F5">
            <w:pPr>
              <w:pStyle w:val="30"/>
              <w:spacing w:before="110" w:line="135" w:lineRule="exact"/>
              <w:ind w:left="137"/>
              <w:rPr>
                <w:color w:val="000000" w:themeColor="text1"/>
                <w:u w:val="none" w:color="auto"/>
                <w14:textFill>
                  <w14:solidFill>
                    <w14:schemeClr w14:val="tx1"/>
                  </w14:solidFill>
                </w14:textFill>
              </w:rPr>
            </w:pPr>
            <w:r>
              <w:rPr>
                <w:color w:val="000000" w:themeColor="text1"/>
                <w:spacing w:val="9"/>
                <w:position w:val="-2"/>
                <w:u w:val="none" w:color="auto"/>
                <w14:textFill>
                  <w14:solidFill>
                    <w14:schemeClr w14:val="tx1"/>
                  </w14:solidFill>
                </w14:textFill>
              </w:rPr>
              <w:t>——</w:t>
            </w:r>
          </w:p>
        </w:tc>
        <w:tc>
          <w:tcPr>
            <w:tcW w:w="822" w:type="dxa"/>
            <w:gridSpan w:val="2"/>
            <w:vAlign w:val="top"/>
          </w:tcPr>
          <w:p w14:paraId="2355732F">
            <w:pPr>
              <w:pStyle w:val="30"/>
              <w:spacing w:before="11" w:line="205" w:lineRule="auto"/>
              <w:ind w:left="378"/>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0</w:t>
            </w:r>
          </w:p>
        </w:tc>
        <w:tc>
          <w:tcPr>
            <w:tcW w:w="966" w:type="dxa"/>
            <w:vAlign w:val="top"/>
          </w:tcPr>
          <w:p w14:paraId="10004591">
            <w:pPr>
              <w:pStyle w:val="30"/>
              <w:spacing w:before="110" w:line="135" w:lineRule="exact"/>
              <w:ind w:left="289"/>
              <w:rPr>
                <w:color w:val="000000" w:themeColor="text1"/>
                <w:u w:val="none" w:color="auto"/>
                <w14:textFill>
                  <w14:solidFill>
                    <w14:schemeClr w14:val="tx1"/>
                  </w14:solidFill>
                </w14:textFill>
              </w:rPr>
            </w:pPr>
            <w:r>
              <w:rPr>
                <w:color w:val="000000" w:themeColor="text1"/>
                <w:spacing w:val="9"/>
                <w:position w:val="-2"/>
                <w:u w:val="none" w:color="auto"/>
                <w14:textFill>
                  <w14:solidFill>
                    <w14:schemeClr w14:val="tx1"/>
                  </w14:solidFill>
                </w14:textFill>
              </w:rPr>
              <w:t>——</w:t>
            </w:r>
          </w:p>
        </w:tc>
      </w:tr>
      <w:tr w14:paraId="49236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124" w:type="dxa"/>
            <w:gridSpan w:val="2"/>
            <w:vMerge w:val="restart"/>
            <w:tcBorders>
              <w:bottom w:val="nil"/>
            </w:tcBorders>
            <w:vAlign w:val="top"/>
          </w:tcPr>
          <w:p w14:paraId="76F2B748">
            <w:pPr>
              <w:spacing w:line="246" w:lineRule="auto"/>
              <w:rPr>
                <w:rFonts w:ascii="Arial"/>
                <w:color w:val="000000" w:themeColor="text1"/>
                <w:sz w:val="21"/>
                <w:u w:val="none" w:color="auto"/>
                <w14:textFill>
                  <w14:solidFill>
                    <w14:schemeClr w14:val="tx1"/>
                  </w14:solidFill>
                </w14:textFill>
              </w:rPr>
            </w:pPr>
          </w:p>
          <w:p w14:paraId="6AE48751">
            <w:pPr>
              <w:spacing w:line="246" w:lineRule="auto"/>
              <w:rPr>
                <w:rFonts w:ascii="Arial"/>
                <w:color w:val="000000" w:themeColor="text1"/>
                <w:sz w:val="21"/>
                <w:u w:val="none" w:color="auto"/>
                <w14:textFill>
                  <w14:solidFill>
                    <w14:schemeClr w14:val="tx1"/>
                  </w14:solidFill>
                </w14:textFill>
              </w:rPr>
            </w:pPr>
          </w:p>
          <w:p w14:paraId="5C99C582">
            <w:pPr>
              <w:spacing w:line="246" w:lineRule="auto"/>
              <w:rPr>
                <w:rFonts w:ascii="Arial"/>
                <w:color w:val="000000" w:themeColor="text1"/>
                <w:sz w:val="21"/>
                <w:u w:val="none" w:color="auto"/>
                <w14:textFill>
                  <w14:solidFill>
                    <w14:schemeClr w14:val="tx1"/>
                  </w14:solidFill>
                </w14:textFill>
              </w:rPr>
            </w:pPr>
          </w:p>
          <w:p w14:paraId="1F8BC0D3">
            <w:pPr>
              <w:spacing w:line="246" w:lineRule="auto"/>
              <w:rPr>
                <w:rFonts w:ascii="Arial"/>
                <w:color w:val="000000" w:themeColor="text1"/>
                <w:sz w:val="21"/>
                <w:u w:val="none" w:color="auto"/>
                <w14:textFill>
                  <w14:solidFill>
                    <w14:schemeClr w14:val="tx1"/>
                  </w14:solidFill>
                </w14:textFill>
              </w:rPr>
            </w:pPr>
          </w:p>
          <w:p w14:paraId="306DE1DD">
            <w:pPr>
              <w:pStyle w:val="30"/>
              <w:spacing w:before="69" w:line="226" w:lineRule="auto"/>
              <w:ind w:left="470" w:right="49" w:hanging="395"/>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年度总体目</w:t>
            </w:r>
            <w:r>
              <w:rPr>
                <w:color w:val="000000" w:themeColor="text1"/>
                <w:u w:val="none" w:color="auto"/>
                <w14:textFill>
                  <w14:solidFill>
                    <w14:schemeClr w14:val="tx1"/>
                  </w14:solidFill>
                </w14:textFill>
              </w:rPr>
              <w:t>标</w:t>
            </w:r>
          </w:p>
        </w:tc>
        <w:tc>
          <w:tcPr>
            <w:tcW w:w="4372" w:type="dxa"/>
            <w:gridSpan w:val="5"/>
            <w:vAlign w:val="top"/>
          </w:tcPr>
          <w:p w14:paraId="7F0815F5">
            <w:pPr>
              <w:pStyle w:val="30"/>
              <w:spacing w:before="11" w:line="205" w:lineRule="auto"/>
              <w:ind w:left="1798"/>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预期目标</w:t>
            </w:r>
          </w:p>
        </w:tc>
        <w:tc>
          <w:tcPr>
            <w:tcW w:w="3268" w:type="dxa"/>
            <w:gridSpan w:val="5"/>
            <w:vAlign w:val="top"/>
          </w:tcPr>
          <w:p w14:paraId="76999681">
            <w:pPr>
              <w:pStyle w:val="30"/>
              <w:spacing w:before="11" w:line="205" w:lineRule="auto"/>
              <w:ind w:left="1059"/>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实际完成情况</w:t>
            </w:r>
          </w:p>
        </w:tc>
      </w:tr>
      <w:tr w14:paraId="3233A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18" w:hRule="atLeast"/>
        </w:trPr>
        <w:tc>
          <w:tcPr>
            <w:tcW w:w="1124" w:type="dxa"/>
            <w:gridSpan w:val="2"/>
            <w:vMerge w:val="continue"/>
            <w:tcBorders>
              <w:top w:val="nil"/>
            </w:tcBorders>
            <w:vAlign w:val="top"/>
          </w:tcPr>
          <w:p w14:paraId="1585F964">
            <w:pPr>
              <w:rPr>
                <w:rFonts w:ascii="Arial"/>
                <w:color w:val="000000" w:themeColor="text1"/>
                <w:sz w:val="21"/>
                <w:u w:val="none" w:color="auto"/>
                <w14:textFill>
                  <w14:solidFill>
                    <w14:schemeClr w14:val="tx1"/>
                  </w14:solidFill>
                </w14:textFill>
              </w:rPr>
            </w:pPr>
          </w:p>
        </w:tc>
        <w:tc>
          <w:tcPr>
            <w:tcW w:w="4372" w:type="dxa"/>
            <w:gridSpan w:val="5"/>
            <w:vAlign w:val="top"/>
          </w:tcPr>
          <w:p w14:paraId="0628916A">
            <w:pPr>
              <w:pStyle w:val="30"/>
              <w:spacing w:before="76" w:line="212" w:lineRule="auto"/>
              <w:ind w:left="107"/>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金川大桥及连接线道路工程北起沃野街，南至沿</w:t>
            </w:r>
          </w:p>
          <w:p w14:paraId="3E8F3A54">
            <w:pPr>
              <w:pStyle w:val="30"/>
              <w:spacing w:line="211" w:lineRule="auto"/>
              <w:ind w:left="114"/>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黄公路</w:t>
            </w:r>
            <w:r>
              <w:rPr>
                <w:color w:val="000000" w:themeColor="text1"/>
                <w:spacing w:val="-39"/>
                <w:u w:val="none" w:color="auto"/>
                <w14:textFill>
                  <w14:solidFill>
                    <w14:schemeClr w14:val="tx1"/>
                  </w14:solidFill>
                </w14:textFill>
              </w:rPr>
              <w:t xml:space="preserve"> </w:t>
            </w:r>
            <w:r>
              <w:rPr>
                <w:color w:val="000000" w:themeColor="text1"/>
                <w:spacing w:val="4"/>
                <w:u w:val="none" w:color="auto"/>
                <w14:textFill>
                  <w14:solidFill>
                    <w14:schemeClr w14:val="tx1"/>
                  </w14:solidFill>
                </w14:textFill>
              </w:rPr>
              <w:t>，全长5121米</w:t>
            </w:r>
            <w:r>
              <w:rPr>
                <w:color w:val="000000" w:themeColor="text1"/>
                <w:spacing w:val="-49"/>
                <w:u w:val="none" w:color="auto"/>
                <w14:textFill>
                  <w14:solidFill>
                    <w14:schemeClr w14:val="tx1"/>
                  </w14:solidFill>
                </w14:textFill>
              </w:rPr>
              <w:t xml:space="preserve"> </w:t>
            </w:r>
            <w:r>
              <w:rPr>
                <w:color w:val="000000" w:themeColor="text1"/>
                <w:spacing w:val="4"/>
                <w:u w:val="none" w:color="auto"/>
                <w14:textFill>
                  <w14:solidFill>
                    <w14:schemeClr w14:val="tx1"/>
                  </w14:solidFill>
                </w14:textFill>
              </w:rPr>
              <w:t>，道路红线宽63米，沥青砼</w:t>
            </w:r>
          </w:p>
          <w:p w14:paraId="70743920">
            <w:pPr>
              <w:pStyle w:val="30"/>
              <w:spacing w:line="209" w:lineRule="auto"/>
              <w:ind w:left="109"/>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路面，三块板断面，</w:t>
            </w:r>
            <w:r>
              <w:rPr>
                <w:color w:val="000000" w:themeColor="text1"/>
                <w:spacing w:val="-40"/>
                <w:u w:val="none" w:color="auto"/>
                <w14:textFill>
                  <w14:solidFill>
                    <w14:schemeClr w14:val="tx1"/>
                  </w14:solidFill>
                </w14:textFill>
              </w:rPr>
              <w:t xml:space="preserve"> </w:t>
            </w:r>
            <w:r>
              <w:rPr>
                <w:color w:val="000000" w:themeColor="text1"/>
                <w:spacing w:val="6"/>
                <w:u w:val="none" w:color="auto"/>
                <w14:textFill>
                  <w14:solidFill>
                    <w14:schemeClr w14:val="tx1"/>
                  </w14:solidFill>
                </w14:textFill>
              </w:rPr>
              <w:t>即机动车道30米、两侧绿化</w:t>
            </w:r>
          </w:p>
          <w:p w14:paraId="7716EC26">
            <w:pPr>
              <w:pStyle w:val="30"/>
              <w:spacing w:line="212" w:lineRule="auto"/>
              <w:ind w:left="102"/>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隔离带各5米、非机动车道各6.5米、人行道各5米</w:t>
            </w:r>
          </w:p>
          <w:p w14:paraId="4F87C63B">
            <w:pPr>
              <w:pStyle w:val="30"/>
              <w:spacing w:line="211" w:lineRule="auto"/>
              <w:ind w:left="117"/>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。其中拟建的金川大桥起点位于金川大道与沃野</w:t>
            </w:r>
          </w:p>
          <w:p w14:paraId="1F4D76EF">
            <w:pPr>
              <w:pStyle w:val="30"/>
              <w:spacing w:line="211" w:lineRule="auto"/>
              <w:ind w:left="105"/>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街平交</w:t>
            </w:r>
            <w:r>
              <w:rPr>
                <w:color w:val="000000" w:themeColor="text1"/>
                <w:spacing w:val="-33"/>
                <w:u w:val="none" w:color="auto"/>
                <w14:textFill>
                  <w14:solidFill>
                    <w14:schemeClr w14:val="tx1"/>
                  </w14:solidFill>
                </w14:textFill>
              </w:rPr>
              <w:t xml:space="preserve"> </w:t>
            </w:r>
            <w:r>
              <w:rPr>
                <w:color w:val="000000" w:themeColor="text1"/>
                <w:spacing w:val="6"/>
                <w:u w:val="none" w:color="auto"/>
                <w14:textFill>
                  <w14:solidFill>
                    <w14:schemeClr w14:val="tx1"/>
                  </w14:solidFill>
                </w14:textFill>
              </w:rPr>
              <w:t>口南侧，上跨规划红铁街、北边渠、包兰</w:t>
            </w:r>
          </w:p>
          <w:p w14:paraId="32E2D62D">
            <w:pPr>
              <w:pStyle w:val="30"/>
              <w:spacing w:line="212" w:lineRule="auto"/>
              <w:ind w:left="104"/>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铁路、规划河堤路、黄河总干渠、右侧河堤路至</w:t>
            </w:r>
          </w:p>
          <w:p w14:paraId="1B85B0D4">
            <w:pPr>
              <w:pStyle w:val="30"/>
              <w:spacing w:line="211" w:lineRule="auto"/>
              <w:ind w:left="79"/>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桥梁终点，后接路堤，桥梁全长932.2米。概算投</w:t>
            </w:r>
          </w:p>
          <w:p w14:paraId="58446FF2">
            <w:pPr>
              <w:pStyle w:val="30"/>
              <w:spacing w:line="241" w:lineRule="auto"/>
              <w:ind w:left="1429"/>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资16333.68万元。</w:t>
            </w:r>
          </w:p>
        </w:tc>
        <w:tc>
          <w:tcPr>
            <w:tcW w:w="3268" w:type="dxa"/>
            <w:gridSpan w:val="5"/>
            <w:vAlign w:val="top"/>
          </w:tcPr>
          <w:p w14:paraId="769D1038">
            <w:pPr>
              <w:spacing w:line="283" w:lineRule="auto"/>
              <w:rPr>
                <w:rFonts w:ascii="Arial"/>
                <w:color w:val="000000" w:themeColor="text1"/>
                <w:sz w:val="21"/>
                <w:u w:val="none" w:color="auto"/>
                <w14:textFill>
                  <w14:solidFill>
                    <w14:schemeClr w14:val="tx1"/>
                  </w14:solidFill>
                </w14:textFill>
              </w:rPr>
            </w:pPr>
          </w:p>
          <w:p w14:paraId="7D947891">
            <w:pPr>
              <w:spacing w:line="283" w:lineRule="auto"/>
              <w:rPr>
                <w:rFonts w:ascii="Arial"/>
                <w:color w:val="000000" w:themeColor="text1"/>
                <w:sz w:val="21"/>
                <w:u w:val="none" w:color="auto"/>
                <w14:textFill>
                  <w14:solidFill>
                    <w14:schemeClr w14:val="tx1"/>
                  </w14:solidFill>
                </w14:textFill>
              </w:rPr>
            </w:pPr>
          </w:p>
          <w:p w14:paraId="3A3B0945">
            <w:pPr>
              <w:spacing w:line="284" w:lineRule="auto"/>
              <w:rPr>
                <w:rFonts w:ascii="Arial"/>
                <w:color w:val="000000" w:themeColor="text1"/>
                <w:sz w:val="21"/>
                <w:u w:val="none" w:color="auto"/>
                <w14:textFill>
                  <w14:solidFill>
                    <w14:schemeClr w14:val="tx1"/>
                  </w14:solidFill>
                </w14:textFill>
              </w:rPr>
            </w:pPr>
          </w:p>
          <w:p w14:paraId="0D3DFFC8">
            <w:pPr>
              <w:pStyle w:val="30"/>
              <w:spacing w:before="69" w:line="211" w:lineRule="auto"/>
              <w:ind w:left="58"/>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绩效目标总体达标</w:t>
            </w:r>
            <w:r>
              <w:rPr>
                <w:color w:val="000000" w:themeColor="text1"/>
                <w:spacing w:val="-36"/>
                <w:u w:val="none" w:color="auto"/>
                <w14:textFill>
                  <w14:solidFill>
                    <w14:schemeClr w14:val="tx1"/>
                  </w14:solidFill>
                </w14:textFill>
              </w:rPr>
              <w:t xml:space="preserve"> </w:t>
            </w:r>
            <w:r>
              <w:rPr>
                <w:color w:val="000000" w:themeColor="text1"/>
                <w:spacing w:val="5"/>
                <w:u w:val="none" w:color="auto"/>
                <w14:textFill>
                  <w14:solidFill>
                    <w14:schemeClr w14:val="tx1"/>
                  </w14:solidFill>
                </w14:textFill>
              </w:rPr>
              <w:t>，部分指标有待提</w:t>
            </w:r>
          </w:p>
          <w:p w14:paraId="428C13DA">
            <w:pPr>
              <w:pStyle w:val="30"/>
              <w:spacing w:line="279" w:lineRule="exact"/>
              <w:ind w:left="1452"/>
              <w:rPr>
                <w:color w:val="000000" w:themeColor="text1"/>
                <w:u w:val="none" w:color="auto"/>
                <w14:textFill>
                  <w14:solidFill>
                    <w14:schemeClr w14:val="tx1"/>
                  </w14:solidFill>
                </w14:textFill>
              </w:rPr>
            </w:pPr>
            <w:r>
              <w:rPr>
                <w:color w:val="000000" w:themeColor="text1"/>
                <w:spacing w:val="-4"/>
                <w:position w:val="2"/>
                <w:u w:val="none" w:color="auto"/>
                <w14:textFill>
                  <w14:solidFill>
                    <w14:schemeClr w14:val="tx1"/>
                  </w14:solidFill>
                </w14:textFill>
              </w:rPr>
              <w:t>升。</w:t>
            </w:r>
          </w:p>
        </w:tc>
      </w:tr>
      <w:tr w14:paraId="1F5F9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1" w:hRule="atLeast"/>
        </w:trPr>
        <w:tc>
          <w:tcPr>
            <w:tcW w:w="525" w:type="dxa"/>
            <w:vAlign w:val="top"/>
          </w:tcPr>
          <w:p w14:paraId="61DA69AE">
            <w:pPr>
              <w:pStyle w:val="30"/>
              <w:spacing w:before="190" w:line="227" w:lineRule="auto"/>
              <w:ind w:left="74" w:right="50" w:firstLine="3"/>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绩效</w:t>
            </w:r>
            <w:r>
              <w:rPr>
                <w:color w:val="000000" w:themeColor="text1"/>
                <w:spacing w:val="2"/>
                <w:u w:val="none" w:color="auto"/>
                <w14:textFill>
                  <w14:solidFill>
                    <w14:schemeClr w14:val="tx1"/>
                  </w14:solidFill>
                </w14:textFill>
              </w:rPr>
              <w:t>指标</w:t>
            </w:r>
          </w:p>
        </w:tc>
        <w:tc>
          <w:tcPr>
            <w:tcW w:w="599" w:type="dxa"/>
            <w:vAlign w:val="top"/>
          </w:tcPr>
          <w:p w14:paraId="3C5A6F67">
            <w:pPr>
              <w:pStyle w:val="30"/>
              <w:spacing w:before="190" w:line="227" w:lineRule="auto"/>
              <w:ind w:left="108" w:right="90" w:firstLine="9"/>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一级</w:t>
            </w:r>
            <w:r>
              <w:rPr>
                <w:color w:val="000000" w:themeColor="text1"/>
                <w:spacing w:val="2"/>
                <w:u w:val="none" w:color="auto"/>
                <w14:textFill>
                  <w14:solidFill>
                    <w14:schemeClr w14:val="tx1"/>
                  </w14:solidFill>
                </w14:textFill>
              </w:rPr>
              <w:t>指标</w:t>
            </w:r>
          </w:p>
        </w:tc>
        <w:tc>
          <w:tcPr>
            <w:tcW w:w="1028" w:type="dxa"/>
            <w:vAlign w:val="top"/>
          </w:tcPr>
          <w:p w14:paraId="1617C48B">
            <w:pPr>
              <w:rPr>
                <w:rFonts w:ascii="Arial"/>
                <w:color w:val="000000" w:themeColor="text1"/>
                <w:sz w:val="21"/>
                <w:u w:val="none" w:color="auto"/>
                <w14:textFill>
                  <w14:solidFill>
                    <w14:schemeClr w14:val="tx1"/>
                  </w14:solidFill>
                </w14:textFill>
              </w:rPr>
            </w:pPr>
          </w:p>
          <w:p w14:paraId="2C2BAF55">
            <w:pPr>
              <w:pStyle w:val="30"/>
              <w:spacing w:before="69" w:line="242" w:lineRule="auto"/>
              <w:ind w:left="133"/>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二级指标</w:t>
            </w:r>
          </w:p>
        </w:tc>
        <w:tc>
          <w:tcPr>
            <w:tcW w:w="1358" w:type="dxa"/>
            <w:vAlign w:val="top"/>
          </w:tcPr>
          <w:p w14:paraId="1A1C0160">
            <w:pPr>
              <w:rPr>
                <w:rFonts w:ascii="Arial"/>
                <w:color w:val="000000" w:themeColor="text1"/>
                <w:sz w:val="21"/>
                <w:u w:val="none" w:color="auto"/>
                <w14:textFill>
                  <w14:solidFill>
                    <w14:schemeClr w14:val="tx1"/>
                  </w14:solidFill>
                </w14:textFill>
              </w:rPr>
            </w:pPr>
          </w:p>
          <w:p w14:paraId="15717350">
            <w:pPr>
              <w:pStyle w:val="30"/>
              <w:spacing w:before="69" w:line="242" w:lineRule="auto"/>
              <w:ind w:left="301"/>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三级指标</w:t>
            </w:r>
          </w:p>
        </w:tc>
        <w:tc>
          <w:tcPr>
            <w:tcW w:w="625" w:type="dxa"/>
            <w:vAlign w:val="top"/>
          </w:tcPr>
          <w:p w14:paraId="5DFAAB44">
            <w:pPr>
              <w:pStyle w:val="30"/>
              <w:spacing w:before="191" w:line="227" w:lineRule="auto"/>
              <w:ind w:left="132" w:right="98" w:hanging="6"/>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指标</w:t>
            </w:r>
            <w:r>
              <w:rPr>
                <w:color w:val="000000" w:themeColor="text1"/>
                <w:spacing w:val="-1"/>
                <w:u w:val="none" w:color="auto"/>
                <w14:textFill>
                  <w14:solidFill>
                    <w14:schemeClr w14:val="tx1"/>
                  </w14:solidFill>
                </w14:textFill>
              </w:rPr>
              <w:t>性质</w:t>
            </w:r>
          </w:p>
        </w:tc>
        <w:tc>
          <w:tcPr>
            <w:tcW w:w="625" w:type="dxa"/>
            <w:vAlign w:val="top"/>
          </w:tcPr>
          <w:p w14:paraId="37E11F3C">
            <w:pPr>
              <w:pStyle w:val="30"/>
              <w:spacing w:before="191" w:line="227" w:lineRule="auto"/>
              <w:ind w:left="131" w:right="97" w:hanging="4"/>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指标</w:t>
            </w:r>
            <w:r>
              <w:rPr>
                <w:color w:val="000000" w:themeColor="text1"/>
                <w:u w:val="none" w:color="auto"/>
                <w14:textFill>
                  <w14:solidFill>
                    <w14:schemeClr w14:val="tx1"/>
                  </w14:solidFill>
                </w14:textFill>
              </w:rPr>
              <w:t>方向</w:t>
            </w:r>
          </w:p>
        </w:tc>
        <w:tc>
          <w:tcPr>
            <w:tcW w:w="736" w:type="dxa"/>
            <w:vAlign w:val="top"/>
          </w:tcPr>
          <w:p w14:paraId="30910A3F">
            <w:pPr>
              <w:pStyle w:val="30"/>
              <w:spacing w:before="190" w:line="227" w:lineRule="auto"/>
              <w:ind w:left="179" w:right="51" w:hanging="96"/>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年度指</w:t>
            </w:r>
            <w:r>
              <w:rPr>
                <w:color w:val="000000" w:themeColor="text1"/>
                <w:spacing w:val="4"/>
                <w:u w:val="none" w:color="auto"/>
                <w14:textFill>
                  <w14:solidFill>
                    <w14:schemeClr w14:val="tx1"/>
                  </w14:solidFill>
                </w14:textFill>
              </w:rPr>
              <w:t>标值</w:t>
            </w:r>
          </w:p>
        </w:tc>
        <w:tc>
          <w:tcPr>
            <w:tcW w:w="819" w:type="dxa"/>
            <w:vAlign w:val="top"/>
          </w:tcPr>
          <w:p w14:paraId="1C3D6011">
            <w:pPr>
              <w:pStyle w:val="30"/>
              <w:spacing w:before="190" w:line="228" w:lineRule="auto"/>
              <w:ind w:left="230" w:right="92" w:hanging="95"/>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实际完</w:t>
            </w:r>
            <w:r>
              <w:rPr>
                <w:color w:val="000000" w:themeColor="text1"/>
                <w:spacing w:val="1"/>
                <w:u w:val="none" w:color="auto"/>
                <w14:textFill>
                  <w14:solidFill>
                    <w14:schemeClr w14:val="tx1"/>
                  </w14:solidFill>
                </w14:textFill>
              </w:rPr>
              <w:t>成值</w:t>
            </w:r>
          </w:p>
        </w:tc>
        <w:tc>
          <w:tcPr>
            <w:tcW w:w="661" w:type="dxa"/>
            <w:vAlign w:val="top"/>
          </w:tcPr>
          <w:p w14:paraId="28A4B005">
            <w:pPr>
              <w:pStyle w:val="30"/>
              <w:spacing w:before="190" w:line="226" w:lineRule="auto"/>
              <w:ind w:left="150" w:right="11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计量单位</w:t>
            </w:r>
          </w:p>
        </w:tc>
        <w:tc>
          <w:tcPr>
            <w:tcW w:w="417" w:type="dxa"/>
            <w:textDirection w:val="tbRlV"/>
            <w:vAlign w:val="top"/>
          </w:tcPr>
          <w:p w14:paraId="64A46842">
            <w:pPr>
              <w:pStyle w:val="30"/>
              <w:spacing w:before="87" w:line="211" w:lineRule="auto"/>
              <w:ind w:left="191"/>
              <w:rPr>
                <w:color w:val="000000" w:themeColor="text1"/>
                <w:u w:val="none" w:color="auto"/>
                <w14:textFill>
                  <w14:solidFill>
                    <w14:schemeClr w14:val="tx1"/>
                  </w14:solidFill>
                </w14:textFill>
              </w:rPr>
            </w:pPr>
            <w:r>
              <w:rPr>
                <w:color w:val="000000" w:themeColor="text1"/>
                <w:spacing w:val="42"/>
                <w:u w:val="none" w:color="auto"/>
                <w14:textFill>
                  <w14:solidFill>
                    <w14:schemeClr w14:val="tx1"/>
                  </w14:solidFill>
                </w14:textFill>
              </w:rPr>
              <w:t>分值</w:t>
            </w:r>
          </w:p>
        </w:tc>
        <w:tc>
          <w:tcPr>
            <w:tcW w:w="405" w:type="dxa"/>
            <w:textDirection w:val="tbRlV"/>
            <w:vAlign w:val="top"/>
          </w:tcPr>
          <w:p w14:paraId="51169232">
            <w:pPr>
              <w:pStyle w:val="30"/>
              <w:spacing w:before="82" w:line="210" w:lineRule="auto"/>
              <w:ind w:left="191"/>
              <w:rPr>
                <w:color w:val="000000" w:themeColor="text1"/>
                <w:u w:val="none" w:color="auto"/>
                <w14:textFill>
                  <w14:solidFill>
                    <w14:schemeClr w14:val="tx1"/>
                  </w14:solidFill>
                </w14:textFill>
              </w:rPr>
            </w:pPr>
            <w:r>
              <w:rPr>
                <w:color w:val="000000" w:themeColor="text1"/>
                <w:spacing w:val="42"/>
                <w:u w:val="none" w:color="auto"/>
                <w14:textFill>
                  <w14:solidFill>
                    <w14:schemeClr w14:val="tx1"/>
                  </w14:solidFill>
                </w14:textFill>
              </w:rPr>
              <w:t>得分</w:t>
            </w:r>
          </w:p>
        </w:tc>
        <w:tc>
          <w:tcPr>
            <w:tcW w:w="966" w:type="dxa"/>
            <w:vAlign w:val="top"/>
          </w:tcPr>
          <w:p w14:paraId="5F3FC93F">
            <w:pPr>
              <w:pStyle w:val="30"/>
              <w:spacing w:before="69" w:line="211" w:lineRule="auto"/>
              <w:ind w:left="98"/>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偏差原因</w:t>
            </w:r>
          </w:p>
          <w:p w14:paraId="66FB5D72">
            <w:pPr>
              <w:pStyle w:val="30"/>
              <w:spacing w:line="226" w:lineRule="auto"/>
              <w:ind w:left="196" w:right="67" w:hanging="97"/>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分析及改进措施</w:t>
            </w:r>
          </w:p>
        </w:tc>
      </w:tr>
      <w:tr w14:paraId="105C2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525" w:type="dxa"/>
            <w:vMerge w:val="restart"/>
            <w:tcBorders>
              <w:bottom w:val="nil"/>
            </w:tcBorders>
            <w:vAlign w:val="top"/>
          </w:tcPr>
          <w:p w14:paraId="781C0D08">
            <w:pPr>
              <w:spacing w:line="246" w:lineRule="auto"/>
              <w:rPr>
                <w:rFonts w:ascii="Arial"/>
                <w:color w:val="000000" w:themeColor="text1"/>
                <w:sz w:val="21"/>
                <w:u w:val="none" w:color="auto"/>
                <w14:textFill>
                  <w14:solidFill>
                    <w14:schemeClr w14:val="tx1"/>
                  </w14:solidFill>
                </w14:textFill>
              </w:rPr>
            </w:pPr>
          </w:p>
          <w:p w14:paraId="21E933FE">
            <w:pPr>
              <w:spacing w:line="246" w:lineRule="auto"/>
              <w:rPr>
                <w:rFonts w:ascii="Arial"/>
                <w:color w:val="000000" w:themeColor="text1"/>
                <w:sz w:val="21"/>
                <w:u w:val="none" w:color="auto"/>
                <w14:textFill>
                  <w14:solidFill>
                    <w14:schemeClr w14:val="tx1"/>
                  </w14:solidFill>
                </w14:textFill>
              </w:rPr>
            </w:pPr>
          </w:p>
          <w:p w14:paraId="124E0338">
            <w:pPr>
              <w:spacing w:line="246" w:lineRule="auto"/>
              <w:rPr>
                <w:rFonts w:ascii="Arial"/>
                <w:color w:val="000000" w:themeColor="text1"/>
                <w:sz w:val="21"/>
                <w:u w:val="none" w:color="auto"/>
                <w14:textFill>
                  <w14:solidFill>
                    <w14:schemeClr w14:val="tx1"/>
                  </w14:solidFill>
                </w14:textFill>
              </w:rPr>
            </w:pPr>
          </w:p>
          <w:p w14:paraId="79188C26">
            <w:pPr>
              <w:spacing w:line="246" w:lineRule="auto"/>
              <w:rPr>
                <w:rFonts w:ascii="Arial"/>
                <w:color w:val="000000" w:themeColor="text1"/>
                <w:sz w:val="21"/>
                <w:u w:val="none" w:color="auto"/>
                <w14:textFill>
                  <w14:solidFill>
                    <w14:schemeClr w14:val="tx1"/>
                  </w14:solidFill>
                </w14:textFill>
              </w:rPr>
            </w:pPr>
          </w:p>
          <w:p w14:paraId="28E4D38F">
            <w:pPr>
              <w:spacing w:line="246" w:lineRule="auto"/>
              <w:rPr>
                <w:rFonts w:ascii="Arial"/>
                <w:color w:val="000000" w:themeColor="text1"/>
                <w:sz w:val="21"/>
                <w:u w:val="none" w:color="auto"/>
                <w14:textFill>
                  <w14:solidFill>
                    <w14:schemeClr w14:val="tx1"/>
                  </w14:solidFill>
                </w14:textFill>
              </w:rPr>
            </w:pPr>
          </w:p>
          <w:p w14:paraId="418ADDDA">
            <w:pPr>
              <w:spacing w:line="246" w:lineRule="auto"/>
              <w:rPr>
                <w:rFonts w:ascii="Arial"/>
                <w:color w:val="000000" w:themeColor="text1"/>
                <w:sz w:val="21"/>
                <w:u w:val="none" w:color="auto"/>
                <w14:textFill>
                  <w14:solidFill>
                    <w14:schemeClr w14:val="tx1"/>
                  </w14:solidFill>
                </w14:textFill>
              </w:rPr>
            </w:pPr>
          </w:p>
          <w:p w14:paraId="2B227653">
            <w:pPr>
              <w:spacing w:line="247" w:lineRule="auto"/>
              <w:rPr>
                <w:rFonts w:ascii="Arial"/>
                <w:color w:val="000000" w:themeColor="text1"/>
                <w:sz w:val="21"/>
                <w:u w:val="none" w:color="auto"/>
                <w14:textFill>
                  <w14:solidFill>
                    <w14:schemeClr w14:val="tx1"/>
                  </w14:solidFill>
                </w14:textFill>
              </w:rPr>
            </w:pPr>
          </w:p>
          <w:p w14:paraId="781A4675">
            <w:pPr>
              <w:spacing w:line="247" w:lineRule="auto"/>
              <w:rPr>
                <w:rFonts w:ascii="Arial"/>
                <w:color w:val="000000" w:themeColor="text1"/>
                <w:sz w:val="21"/>
                <w:u w:val="none" w:color="auto"/>
                <w14:textFill>
                  <w14:solidFill>
                    <w14:schemeClr w14:val="tx1"/>
                  </w14:solidFill>
                </w14:textFill>
              </w:rPr>
            </w:pPr>
          </w:p>
          <w:p w14:paraId="53F11800">
            <w:pPr>
              <w:spacing w:line="247" w:lineRule="auto"/>
              <w:rPr>
                <w:rFonts w:ascii="Arial"/>
                <w:color w:val="000000" w:themeColor="text1"/>
                <w:sz w:val="21"/>
                <w:u w:val="none" w:color="auto"/>
                <w14:textFill>
                  <w14:solidFill>
                    <w14:schemeClr w14:val="tx1"/>
                  </w14:solidFill>
                </w14:textFill>
              </w:rPr>
            </w:pPr>
          </w:p>
          <w:p w14:paraId="3EF450A5">
            <w:pPr>
              <w:spacing w:line="247" w:lineRule="auto"/>
              <w:rPr>
                <w:rFonts w:ascii="Arial"/>
                <w:color w:val="000000" w:themeColor="text1"/>
                <w:sz w:val="21"/>
                <w:u w:val="none" w:color="auto"/>
                <w14:textFill>
                  <w14:solidFill>
                    <w14:schemeClr w14:val="tx1"/>
                  </w14:solidFill>
                </w14:textFill>
              </w:rPr>
            </w:pPr>
          </w:p>
          <w:p w14:paraId="2DE78530">
            <w:pPr>
              <w:spacing w:line="247" w:lineRule="auto"/>
              <w:rPr>
                <w:rFonts w:ascii="Arial"/>
                <w:color w:val="000000" w:themeColor="text1"/>
                <w:sz w:val="21"/>
                <w:u w:val="none" w:color="auto"/>
                <w14:textFill>
                  <w14:solidFill>
                    <w14:schemeClr w14:val="tx1"/>
                  </w14:solidFill>
                </w14:textFill>
              </w:rPr>
            </w:pPr>
          </w:p>
          <w:p w14:paraId="78ABE300">
            <w:pPr>
              <w:pStyle w:val="30"/>
              <w:spacing w:before="69" w:line="226" w:lineRule="auto"/>
              <w:ind w:left="74" w:right="50" w:firstLine="3"/>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绩效</w:t>
            </w:r>
            <w:r>
              <w:rPr>
                <w:color w:val="000000" w:themeColor="text1"/>
                <w:spacing w:val="2"/>
                <w:u w:val="none" w:color="auto"/>
                <w14:textFill>
                  <w14:solidFill>
                    <w14:schemeClr w14:val="tx1"/>
                  </w14:solidFill>
                </w14:textFill>
              </w:rPr>
              <w:t>指标</w:t>
            </w:r>
          </w:p>
        </w:tc>
        <w:tc>
          <w:tcPr>
            <w:tcW w:w="599" w:type="dxa"/>
            <w:vMerge w:val="restart"/>
            <w:tcBorders>
              <w:bottom w:val="nil"/>
            </w:tcBorders>
            <w:vAlign w:val="top"/>
          </w:tcPr>
          <w:p w14:paraId="2186E8FC">
            <w:pPr>
              <w:rPr>
                <w:rFonts w:ascii="Arial"/>
                <w:color w:val="000000" w:themeColor="text1"/>
                <w:sz w:val="21"/>
                <w:u w:val="none" w:color="auto"/>
                <w14:textFill>
                  <w14:solidFill>
                    <w14:schemeClr w14:val="tx1"/>
                  </w14:solidFill>
                </w14:textFill>
              </w:rPr>
            </w:pPr>
          </w:p>
          <w:p w14:paraId="3CE75195">
            <w:pPr>
              <w:rPr>
                <w:rFonts w:ascii="Arial"/>
                <w:color w:val="000000" w:themeColor="text1"/>
                <w:sz w:val="21"/>
                <w:u w:val="none" w:color="auto"/>
                <w14:textFill>
                  <w14:solidFill>
                    <w14:schemeClr w14:val="tx1"/>
                  </w14:solidFill>
                </w14:textFill>
              </w:rPr>
            </w:pPr>
          </w:p>
          <w:p w14:paraId="2AD881D9">
            <w:pPr>
              <w:rPr>
                <w:rFonts w:ascii="Arial"/>
                <w:color w:val="000000" w:themeColor="text1"/>
                <w:sz w:val="21"/>
                <w:u w:val="none" w:color="auto"/>
                <w14:textFill>
                  <w14:solidFill>
                    <w14:schemeClr w14:val="tx1"/>
                  </w14:solidFill>
                </w14:textFill>
              </w:rPr>
            </w:pPr>
          </w:p>
          <w:p w14:paraId="0F572342">
            <w:pPr>
              <w:rPr>
                <w:rFonts w:ascii="Arial"/>
                <w:color w:val="000000" w:themeColor="text1"/>
                <w:sz w:val="21"/>
                <w:u w:val="none" w:color="auto"/>
                <w14:textFill>
                  <w14:solidFill>
                    <w14:schemeClr w14:val="tx1"/>
                  </w14:solidFill>
                </w14:textFill>
              </w:rPr>
            </w:pPr>
          </w:p>
          <w:p w14:paraId="69A1942D">
            <w:pPr>
              <w:spacing w:line="241" w:lineRule="auto"/>
              <w:rPr>
                <w:rFonts w:ascii="Arial"/>
                <w:color w:val="000000" w:themeColor="text1"/>
                <w:sz w:val="21"/>
                <w:u w:val="none" w:color="auto"/>
                <w14:textFill>
                  <w14:solidFill>
                    <w14:schemeClr w14:val="tx1"/>
                  </w14:solidFill>
                </w14:textFill>
              </w:rPr>
            </w:pPr>
          </w:p>
          <w:p w14:paraId="21962A96">
            <w:pPr>
              <w:spacing w:line="241" w:lineRule="auto"/>
              <w:rPr>
                <w:rFonts w:ascii="Arial"/>
                <w:color w:val="000000" w:themeColor="text1"/>
                <w:sz w:val="21"/>
                <w:u w:val="none" w:color="auto"/>
                <w14:textFill>
                  <w14:solidFill>
                    <w14:schemeClr w14:val="tx1"/>
                  </w14:solidFill>
                </w14:textFill>
              </w:rPr>
            </w:pPr>
          </w:p>
          <w:p w14:paraId="414C1469">
            <w:pPr>
              <w:pStyle w:val="30"/>
              <w:spacing w:before="69" w:line="226" w:lineRule="auto"/>
              <w:ind w:left="108" w:right="90"/>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产出指标</w:t>
            </w:r>
          </w:p>
        </w:tc>
        <w:tc>
          <w:tcPr>
            <w:tcW w:w="1028" w:type="dxa"/>
            <w:vMerge w:val="restart"/>
            <w:tcBorders>
              <w:bottom w:val="nil"/>
            </w:tcBorders>
            <w:vAlign w:val="top"/>
          </w:tcPr>
          <w:p w14:paraId="564BD1E8">
            <w:pPr>
              <w:pStyle w:val="30"/>
              <w:spacing w:before="150" w:line="242" w:lineRule="auto"/>
              <w:ind w:left="129"/>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数量指标</w:t>
            </w:r>
          </w:p>
        </w:tc>
        <w:tc>
          <w:tcPr>
            <w:tcW w:w="1358" w:type="dxa"/>
            <w:vAlign w:val="top"/>
          </w:tcPr>
          <w:p w14:paraId="4EA8BD27">
            <w:pPr>
              <w:pStyle w:val="30"/>
              <w:spacing w:before="14" w:line="202" w:lineRule="auto"/>
              <w:ind w:left="289"/>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道路全长</w:t>
            </w:r>
          </w:p>
        </w:tc>
        <w:tc>
          <w:tcPr>
            <w:tcW w:w="625" w:type="dxa"/>
            <w:vAlign w:val="top"/>
          </w:tcPr>
          <w:p w14:paraId="5D10E6DD">
            <w:pPr>
              <w:pStyle w:val="30"/>
              <w:spacing w:before="14" w:line="20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5866F596">
            <w:pPr>
              <w:pStyle w:val="30"/>
              <w:spacing w:before="14" w:line="202"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7298860D">
            <w:pPr>
              <w:pStyle w:val="30"/>
              <w:spacing w:before="14" w:line="202" w:lineRule="auto"/>
              <w:ind w:left="184"/>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5121</w:t>
            </w:r>
          </w:p>
        </w:tc>
        <w:tc>
          <w:tcPr>
            <w:tcW w:w="819" w:type="dxa"/>
            <w:vAlign w:val="top"/>
          </w:tcPr>
          <w:p w14:paraId="2341F76D">
            <w:pPr>
              <w:pStyle w:val="30"/>
              <w:spacing w:before="14" w:line="202" w:lineRule="auto"/>
              <w:ind w:left="226"/>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5121</w:t>
            </w:r>
          </w:p>
        </w:tc>
        <w:tc>
          <w:tcPr>
            <w:tcW w:w="661" w:type="dxa"/>
            <w:vAlign w:val="top"/>
          </w:tcPr>
          <w:p w14:paraId="2D8EF486">
            <w:pPr>
              <w:pStyle w:val="30"/>
              <w:spacing w:before="14" w:line="202" w:lineRule="auto"/>
              <w:ind w:left="25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米</w:t>
            </w:r>
          </w:p>
        </w:tc>
        <w:tc>
          <w:tcPr>
            <w:tcW w:w="417" w:type="dxa"/>
            <w:vAlign w:val="top"/>
          </w:tcPr>
          <w:p w14:paraId="398C57E3">
            <w:pPr>
              <w:pStyle w:val="30"/>
              <w:spacing w:before="14" w:line="202" w:lineRule="auto"/>
              <w:ind w:left="129"/>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10</w:t>
            </w:r>
          </w:p>
        </w:tc>
        <w:tc>
          <w:tcPr>
            <w:tcW w:w="405" w:type="dxa"/>
            <w:vAlign w:val="top"/>
          </w:tcPr>
          <w:p w14:paraId="470542D6">
            <w:pPr>
              <w:pStyle w:val="30"/>
              <w:spacing w:before="14" w:line="202" w:lineRule="auto"/>
              <w:ind w:left="12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10</w:t>
            </w:r>
          </w:p>
        </w:tc>
        <w:tc>
          <w:tcPr>
            <w:tcW w:w="966" w:type="dxa"/>
            <w:vAlign w:val="top"/>
          </w:tcPr>
          <w:p w14:paraId="52BC21B1">
            <w:pPr>
              <w:rPr>
                <w:rFonts w:ascii="Arial"/>
                <w:color w:val="000000" w:themeColor="text1"/>
                <w:sz w:val="21"/>
                <w:u w:val="none" w:color="auto"/>
                <w14:textFill>
                  <w14:solidFill>
                    <w14:schemeClr w14:val="tx1"/>
                  </w14:solidFill>
                </w14:textFill>
              </w:rPr>
            </w:pPr>
          </w:p>
        </w:tc>
      </w:tr>
      <w:tr w14:paraId="5200F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525" w:type="dxa"/>
            <w:vMerge w:val="continue"/>
            <w:tcBorders>
              <w:top w:val="nil"/>
              <w:bottom w:val="nil"/>
            </w:tcBorders>
            <w:vAlign w:val="top"/>
          </w:tcPr>
          <w:p w14:paraId="0F5B312D">
            <w:pPr>
              <w:rPr>
                <w:rFonts w:ascii="Arial"/>
                <w:color w:val="000000" w:themeColor="text1"/>
                <w:sz w:val="21"/>
                <w:u w:val="none" w:color="auto"/>
                <w14:textFill>
                  <w14:solidFill>
                    <w14:schemeClr w14:val="tx1"/>
                  </w14:solidFill>
                </w14:textFill>
              </w:rPr>
            </w:pPr>
          </w:p>
        </w:tc>
        <w:tc>
          <w:tcPr>
            <w:tcW w:w="599" w:type="dxa"/>
            <w:vMerge w:val="continue"/>
            <w:tcBorders>
              <w:top w:val="nil"/>
              <w:bottom w:val="nil"/>
            </w:tcBorders>
            <w:vAlign w:val="top"/>
          </w:tcPr>
          <w:p w14:paraId="7047EE62">
            <w:pPr>
              <w:rPr>
                <w:rFonts w:ascii="Arial"/>
                <w:color w:val="000000" w:themeColor="text1"/>
                <w:sz w:val="21"/>
                <w:u w:val="none" w:color="auto"/>
                <w14:textFill>
                  <w14:solidFill>
                    <w14:schemeClr w14:val="tx1"/>
                  </w14:solidFill>
                </w14:textFill>
              </w:rPr>
            </w:pPr>
          </w:p>
        </w:tc>
        <w:tc>
          <w:tcPr>
            <w:tcW w:w="1028" w:type="dxa"/>
            <w:vMerge w:val="continue"/>
            <w:tcBorders>
              <w:top w:val="nil"/>
            </w:tcBorders>
            <w:vAlign w:val="top"/>
          </w:tcPr>
          <w:p w14:paraId="69E8D1A0">
            <w:pPr>
              <w:rPr>
                <w:rFonts w:ascii="Arial"/>
                <w:color w:val="000000" w:themeColor="text1"/>
                <w:sz w:val="21"/>
                <w:u w:val="none" w:color="auto"/>
                <w14:textFill>
                  <w14:solidFill>
                    <w14:schemeClr w14:val="tx1"/>
                  </w14:solidFill>
                </w14:textFill>
              </w:rPr>
            </w:pPr>
          </w:p>
        </w:tc>
        <w:tc>
          <w:tcPr>
            <w:tcW w:w="1358" w:type="dxa"/>
            <w:vAlign w:val="top"/>
          </w:tcPr>
          <w:p w14:paraId="38554F20">
            <w:pPr>
              <w:pStyle w:val="30"/>
              <w:spacing w:before="14" w:line="202" w:lineRule="auto"/>
              <w:ind w:left="191"/>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道路红线宽</w:t>
            </w:r>
          </w:p>
        </w:tc>
        <w:tc>
          <w:tcPr>
            <w:tcW w:w="625" w:type="dxa"/>
            <w:vAlign w:val="top"/>
          </w:tcPr>
          <w:p w14:paraId="00E08488">
            <w:pPr>
              <w:pStyle w:val="30"/>
              <w:spacing w:before="14" w:line="20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647F3D4D">
            <w:pPr>
              <w:pStyle w:val="30"/>
              <w:spacing w:before="14" w:line="202"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21C0FDFC">
            <w:pPr>
              <w:pStyle w:val="30"/>
              <w:spacing w:before="14" w:line="202" w:lineRule="auto"/>
              <w:ind w:left="280"/>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63</w:t>
            </w:r>
          </w:p>
        </w:tc>
        <w:tc>
          <w:tcPr>
            <w:tcW w:w="819" w:type="dxa"/>
            <w:vAlign w:val="top"/>
          </w:tcPr>
          <w:p w14:paraId="213127FD">
            <w:pPr>
              <w:pStyle w:val="30"/>
              <w:spacing w:before="14" w:line="202" w:lineRule="auto"/>
              <w:ind w:left="324"/>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63</w:t>
            </w:r>
          </w:p>
        </w:tc>
        <w:tc>
          <w:tcPr>
            <w:tcW w:w="661" w:type="dxa"/>
            <w:vAlign w:val="top"/>
          </w:tcPr>
          <w:p w14:paraId="09DFBC92">
            <w:pPr>
              <w:pStyle w:val="30"/>
              <w:spacing w:before="14" w:line="202" w:lineRule="auto"/>
              <w:ind w:left="25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米</w:t>
            </w:r>
          </w:p>
        </w:tc>
        <w:tc>
          <w:tcPr>
            <w:tcW w:w="417" w:type="dxa"/>
            <w:vAlign w:val="top"/>
          </w:tcPr>
          <w:p w14:paraId="3CF17E36">
            <w:pPr>
              <w:pStyle w:val="30"/>
              <w:spacing w:before="14" w:line="202" w:lineRule="auto"/>
              <w:ind w:left="174"/>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5</w:t>
            </w:r>
          </w:p>
        </w:tc>
        <w:tc>
          <w:tcPr>
            <w:tcW w:w="405" w:type="dxa"/>
            <w:vAlign w:val="top"/>
          </w:tcPr>
          <w:p w14:paraId="580F3440">
            <w:pPr>
              <w:pStyle w:val="30"/>
              <w:spacing w:before="14" w:line="202" w:lineRule="auto"/>
              <w:ind w:left="167"/>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5</w:t>
            </w:r>
          </w:p>
        </w:tc>
        <w:tc>
          <w:tcPr>
            <w:tcW w:w="966" w:type="dxa"/>
            <w:vAlign w:val="top"/>
          </w:tcPr>
          <w:p w14:paraId="436692E7">
            <w:pPr>
              <w:rPr>
                <w:rFonts w:ascii="Arial"/>
                <w:color w:val="000000" w:themeColor="text1"/>
                <w:sz w:val="21"/>
                <w:u w:val="none" w:color="auto"/>
                <w14:textFill>
                  <w14:solidFill>
                    <w14:schemeClr w14:val="tx1"/>
                  </w14:solidFill>
                </w14:textFill>
              </w:rPr>
            </w:pPr>
          </w:p>
        </w:tc>
      </w:tr>
      <w:tr w14:paraId="6A031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43872FD8">
            <w:pPr>
              <w:rPr>
                <w:rFonts w:ascii="Arial"/>
                <w:color w:val="000000" w:themeColor="text1"/>
                <w:sz w:val="21"/>
                <w:u w:val="none" w:color="auto"/>
                <w14:textFill>
                  <w14:solidFill>
                    <w14:schemeClr w14:val="tx1"/>
                  </w14:solidFill>
                </w14:textFill>
              </w:rPr>
            </w:pPr>
          </w:p>
        </w:tc>
        <w:tc>
          <w:tcPr>
            <w:tcW w:w="599" w:type="dxa"/>
            <w:vMerge w:val="continue"/>
            <w:tcBorders>
              <w:top w:val="nil"/>
              <w:bottom w:val="nil"/>
            </w:tcBorders>
            <w:vAlign w:val="top"/>
          </w:tcPr>
          <w:p w14:paraId="3B6BC196">
            <w:pPr>
              <w:rPr>
                <w:rFonts w:ascii="Arial"/>
                <w:color w:val="000000" w:themeColor="text1"/>
                <w:sz w:val="21"/>
                <w:u w:val="none" w:color="auto"/>
                <w14:textFill>
                  <w14:solidFill>
                    <w14:schemeClr w14:val="tx1"/>
                  </w14:solidFill>
                </w14:textFill>
              </w:rPr>
            </w:pPr>
          </w:p>
        </w:tc>
        <w:tc>
          <w:tcPr>
            <w:tcW w:w="1028" w:type="dxa"/>
            <w:vMerge w:val="restart"/>
            <w:tcBorders>
              <w:bottom w:val="nil"/>
            </w:tcBorders>
            <w:vAlign w:val="top"/>
          </w:tcPr>
          <w:p w14:paraId="549CC5DE">
            <w:pPr>
              <w:spacing w:line="306" w:lineRule="auto"/>
              <w:rPr>
                <w:rFonts w:ascii="Arial"/>
                <w:color w:val="000000" w:themeColor="text1"/>
                <w:sz w:val="21"/>
                <w:u w:val="none" w:color="auto"/>
                <w14:textFill>
                  <w14:solidFill>
                    <w14:schemeClr w14:val="tx1"/>
                  </w14:solidFill>
                </w14:textFill>
              </w:rPr>
            </w:pPr>
          </w:p>
          <w:p w14:paraId="033A3F15">
            <w:pPr>
              <w:pStyle w:val="30"/>
              <w:spacing w:before="68" w:line="242" w:lineRule="auto"/>
              <w:ind w:left="128"/>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质量指标</w:t>
            </w:r>
          </w:p>
        </w:tc>
        <w:tc>
          <w:tcPr>
            <w:tcW w:w="1358" w:type="dxa"/>
            <w:vAlign w:val="top"/>
          </w:tcPr>
          <w:p w14:paraId="40E7230D">
            <w:pPr>
              <w:pStyle w:val="30"/>
              <w:spacing w:before="127"/>
              <w:ind w:left="90"/>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道路验收合格</w:t>
            </w:r>
          </w:p>
        </w:tc>
        <w:tc>
          <w:tcPr>
            <w:tcW w:w="625" w:type="dxa"/>
            <w:vAlign w:val="top"/>
          </w:tcPr>
          <w:p w14:paraId="5FF20778">
            <w:pPr>
              <w:pStyle w:val="30"/>
              <w:spacing w:before="127"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604CFD7D">
            <w:pPr>
              <w:pStyle w:val="30"/>
              <w:spacing w:before="7" w:line="212"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5B6A6942">
            <w:pPr>
              <w:pStyle w:val="30"/>
              <w:spacing w:line="192"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2C0521C6">
            <w:pPr>
              <w:pStyle w:val="30"/>
              <w:spacing w:before="127" w:line="294" w:lineRule="exact"/>
              <w:ind w:left="278"/>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80</w:t>
            </w:r>
          </w:p>
        </w:tc>
        <w:tc>
          <w:tcPr>
            <w:tcW w:w="819" w:type="dxa"/>
            <w:vAlign w:val="top"/>
          </w:tcPr>
          <w:p w14:paraId="06A52282">
            <w:pPr>
              <w:pStyle w:val="30"/>
              <w:spacing w:before="127" w:line="294" w:lineRule="exact"/>
              <w:ind w:left="31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80</w:t>
            </w:r>
          </w:p>
        </w:tc>
        <w:tc>
          <w:tcPr>
            <w:tcW w:w="661" w:type="dxa"/>
            <w:vAlign w:val="top"/>
          </w:tcPr>
          <w:p w14:paraId="02C9F012">
            <w:pPr>
              <w:pStyle w:val="30"/>
              <w:spacing w:before="127"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651ED1B1">
            <w:pPr>
              <w:pStyle w:val="30"/>
              <w:spacing w:before="127" w:line="294" w:lineRule="exact"/>
              <w:ind w:left="12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405" w:type="dxa"/>
            <w:vAlign w:val="top"/>
          </w:tcPr>
          <w:p w14:paraId="02AE5F44">
            <w:pPr>
              <w:pStyle w:val="30"/>
              <w:spacing w:before="127" w:line="294" w:lineRule="exact"/>
              <w:ind w:left="122"/>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966" w:type="dxa"/>
            <w:vAlign w:val="top"/>
          </w:tcPr>
          <w:p w14:paraId="2E2D0259">
            <w:pPr>
              <w:rPr>
                <w:rFonts w:ascii="Arial"/>
                <w:color w:val="000000" w:themeColor="text1"/>
                <w:sz w:val="21"/>
                <w:u w:val="none" w:color="auto"/>
                <w14:textFill>
                  <w14:solidFill>
                    <w14:schemeClr w14:val="tx1"/>
                  </w14:solidFill>
                </w14:textFill>
              </w:rPr>
            </w:pPr>
          </w:p>
        </w:tc>
      </w:tr>
      <w:tr w14:paraId="5E9B3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432DE87D">
            <w:pPr>
              <w:rPr>
                <w:rFonts w:ascii="Arial"/>
                <w:color w:val="000000" w:themeColor="text1"/>
                <w:sz w:val="21"/>
                <w:u w:val="none" w:color="auto"/>
                <w14:textFill>
                  <w14:solidFill>
                    <w14:schemeClr w14:val="tx1"/>
                  </w14:solidFill>
                </w14:textFill>
              </w:rPr>
            </w:pPr>
          </w:p>
        </w:tc>
        <w:tc>
          <w:tcPr>
            <w:tcW w:w="599" w:type="dxa"/>
            <w:vMerge w:val="continue"/>
            <w:tcBorders>
              <w:top w:val="nil"/>
              <w:bottom w:val="nil"/>
            </w:tcBorders>
            <w:vAlign w:val="top"/>
          </w:tcPr>
          <w:p w14:paraId="77FBF3E0">
            <w:pPr>
              <w:rPr>
                <w:rFonts w:ascii="Arial"/>
                <w:color w:val="000000" w:themeColor="text1"/>
                <w:sz w:val="21"/>
                <w:u w:val="none" w:color="auto"/>
                <w14:textFill>
                  <w14:solidFill>
                    <w14:schemeClr w14:val="tx1"/>
                  </w14:solidFill>
                </w14:textFill>
              </w:rPr>
            </w:pPr>
          </w:p>
        </w:tc>
        <w:tc>
          <w:tcPr>
            <w:tcW w:w="1028" w:type="dxa"/>
            <w:vMerge w:val="continue"/>
            <w:tcBorders>
              <w:top w:val="nil"/>
            </w:tcBorders>
            <w:vAlign w:val="top"/>
          </w:tcPr>
          <w:p w14:paraId="70DAFDD0">
            <w:pPr>
              <w:rPr>
                <w:rFonts w:ascii="Arial"/>
                <w:color w:val="000000" w:themeColor="text1"/>
                <w:sz w:val="21"/>
                <w:u w:val="none" w:color="auto"/>
                <w14:textFill>
                  <w14:solidFill>
                    <w14:schemeClr w14:val="tx1"/>
                  </w14:solidFill>
                </w14:textFill>
              </w:rPr>
            </w:pPr>
          </w:p>
        </w:tc>
        <w:tc>
          <w:tcPr>
            <w:tcW w:w="1358" w:type="dxa"/>
            <w:vAlign w:val="top"/>
          </w:tcPr>
          <w:p w14:paraId="7569ED4A">
            <w:pPr>
              <w:pStyle w:val="30"/>
              <w:spacing w:before="128"/>
              <w:ind w:left="96"/>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绿化验收合格</w:t>
            </w:r>
          </w:p>
        </w:tc>
        <w:tc>
          <w:tcPr>
            <w:tcW w:w="625" w:type="dxa"/>
            <w:vAlign w:val="top"/>
          </w:tcPr>
          <w:p w14:paraId="367C59EB">
            <w:pPr>
              <w:pStyle w:val="30"/>
              <w:spacing w:before="128"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407FB569">
            <w:pPr>
              <w:pStyle w:val="30"/>
              <w:spacing w:before="8" w:line="212"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2D047AA1">
            <w:pPr>
              <w:pStyle w:val="30"/>
              <w:spacing w:before="1" w:line="191"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4F0168D6">
            <w:pPr>
              <w:pStyle w:val="30"/>
              <w:spacing w:before="128" w:line="294" w:lineRule="exact"/>
              <w:ind w:left="278"/>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80</w:t>
            </w:r>
          </w:p>
        </w:tc>
        <w:tc>
          <w:tcPr>
            <w:tcW w:w="819" w:type="dxa"/>
            <w:vAlign w:val="top"/>
          </w:tcPr>
          <w:p w14:paraId="0F9138E8">
            <w:pPr>
              <w:pStyle w:val="30"/>
              <w:spacing w:before="128" w:line="294" w:lineRule="exact"/>
              <w:ind w:left="31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80</w:t>
            </w:r>
          </w:p>
        </w:tc>
        <w:tc>
          <w:tcPr>
            <w:tcW w:w="661" w:type="dxa"/>
            <w:vAlign w:val="top"/>
          </w:tcPr>
          <w:p w14:paraId="34EF6BDF">
            <w:pPr>
              <w:pStyle w:val="30"/>
              <w:spacing w:before="128"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19F26F64">
            <w:pPr>
              <w:pStyle w:val="30"/>
              <w:spacing w:before="128" w:line="293" w:lineRule="exact"/>
              <w:ind w:left="174"/>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405" w:type="dxa"/>
            <w:vAlign w:val="top"/>
          </w:tcPr>
          <w:p w14:paraId="6C418029">
            <w:pPr>
              <w:pStyle w:val="30"/>
              <w:spacing w:before="128" w:line="293"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966" w:type="dxa"/>
            <w:vAlign w:val="top"/>
          </w:tcPr>
          <w:p w14:paraId="3D2E3875">
            <w:pPr>
              <w:rPr>
                <w:rFonts w:ascii="Arial"/>
                <w:color w:val="000000" w:themeColor="text1"/>
                <w:sz w:val="21"/>
                <w:u w:val="none" w:color="auto"/>
                <w14:textFill>
                  <w14:solidFill>
                    <w14:schemeClr w14:val="tx1"/>
                  </w14:solidFill>
                </w14:textFill>
              </w:rPr>
            </w:pPr>
          </w:p>
        </w:tc>
      </w:tr>
      <w:tr w14:paraId="20C17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62E17369">
            <w:pPr>
              <w:rPr>
                <w:rFonts w:ascii="Arial"/>
                <w:color w:val="000000" w:themeColor="text1"/>
                <w:sz w:val="21"/>
                <w:u w:val="none" w:color="auto"/>
                <w14:textFill>
                  <w14:solidFill>
                    <w14:schemeClr w14:val="tx1"/>
                  </w14:solidFill>
                </w14:textFill>
              </w:rPr>
            </w:pPr>
          </w:p>
        </w:tc>
        <w:tc>
          <w:tcPr>
            <w:tcW w:w="599" w:type="dxa"/>
            <w:vMerge w:val="continue"/>
            <w:tcBorders>
              <w:top w:val="nil"/>
              <w:bottom w:val="nil"/>
            </w:tcBorders>
            <w:vAlign w:val="top"/>
          </w:tcPr>
          <w:p w14:paraId="0AC998C1">
            <w:pPr>
              <w:rPr>
                <w:rFonts w:ascii="Arial"/>
                <w:color w:val="000000" w:themeColor="text1"/>
                <w:sz w:val="21"/>
                <w:u w:val="none" w:color="auto"/>
                <w14:textFill>
                  <w14:solidFill>
                    <w14:schemeClr w14:val="tx1"/>
                  </w14:solidFill>
                </w14:textFill>
              </w:rPr>
            </w:pPr>
          </w:p>
        </w:tc>
        <w:tc>
          <w:tcPr>
            <w:tcW w:w="1028" w:type="dxa"/>
            <w:vMerge w:val="restart"/>
            <w:tcBorders>
              <w:bottom w:val="nil"/>
            </w:tcBorders>
            <w:vAlign w:val="top"/>
          </w:tcPr>
          <w:p w14:paraId="43472E97">
            <w:pPr>
              <w:spacing w:line="308" w:lineRule="auto"/>
              <w:rPr>
                <w:rFonts w:ascii="Arial"/>
                <w:color w:val="000000" w:themeColor="text1"/>
                <w:sz w:val="21"/>
                <w:u w:val="none" w:color="auto"/>
                <w14:textFill>
                  <w14:solidFill>
                    <w14:schemeClr w14:val="tx1"/>
                  </w14:solidFill>
                </w14:textFill>
              </w:rPr>
            </w:pPr>
          </w:p>
          <w:p w14:paraId="67FD4960">
            <w:pPr>
              <w:pStyle w:val="30"/>
              <w:spacing w:before="68" w:line="242" w:lineRule="auto"/>
              <w:ind w:left="14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时效指标</w:t>
            </w:r>
          </w:p>
        </w:tc>
        <w:tc>
          <w:tcPr>
            <w:tcW w:w="1358" w:type="dxa"/>
            <w:vAlign w:val="top"/>
          </w:tcPr>
          <w:p w14:paraId="339C0AC0">
            <w:pPr>
              <w:pStyle w:val="30"/>
              <w:spacing w:before="8" w:line="202" w:lineRule="auto"/>
              <w:ind w:left="307" w:right="69" w:hanging="208"/>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完成道路建设</w:t>
            </w:r>
            <w:r>
              <w:rPr>
                <w:color w:val="000000" w:themeColor="text1"/>
                <w:spacing w:val="1"/>
                <w:u w:val="none" w:color="auto"/>
                <w14:textFill>
                  <w14:solidFill>
                    <w14:schemeClr w14:val="tx1"/>
                  </w14:solidFill>
                </w14:textFill>
              </w:rPr>
              <w:t>的及时性</w:t>
            </w:r>
          </w:p>
        </w:tc>
        <w:tc>
          <w:tcPr>
            <w:tcW w:w="625" w:type="dxa"/>
            <w:vAlign w:val="top"/>
          </w:tcPr>
          <w:p w14:paraId="0A46CE70">
            <w:pPr>
              <w:pStyle w:val="30"/>
              <w:spacing w:before="129"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1A6F9994">
            <w:pPr>
              <w:pStyle w:val="30"/>
              <w:spacing w:before="9" w:line="211"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6A27E2C6">
            <w:pPr>
              <w:pStyle w:val="30"/>
              <w:spacing w:before="1" w:line="191"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0DDF1842">
            <w:pPr>
              <w:pStyle w:val="30"/>
              <w:spacing w:before="129" w:line="294" w:lineRule="exact"/>
              <w:ind w:left="278"/>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80</w:t>
            </w:r>
          </w:p>
        </w:tc>
        <w:tc>
          <w:tcPr>
            <w:tcW w:w="819" w:type="dxa"/>
            <w:vAlign w:val="top"/>
          </w:tcPr>
          <w:p w14:paraId="5539EC6F">
            <w:pPr>
              <w:pStyle w:val="30"/>
              <w:spacing w:before="129" w:line="294" w:lineRule="exact"/>
              <w:ind w:left="31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80</w:t>
            </w:r>
          </w:p>
        </w:tc>
        <w:tc>
          <w:tcPr>
            <w:tcW w:w="661" w:type="dxa"/>
            <w:vAlign w:val="top"/>
          </w:tcPr>
          <w:p w14:paraId="5335FA09">
            <w:pPr>
              <w:pStyle w:val="30"/>
              <w:spacing w:before="129"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4DC3BAAC">
            <w:pPr>
              <w:pStyle w:val="30"/>
              <w:spacing w:before="129" w:line="293" w:lineRule="exact"/>
              <w:ind w:left="174"/>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405" w:type="dxa"/>
            <w:vAlign w:val="top"/>
          </w:tcPr>
          <w:p w14:paraId="25F27C6C">
            <w:pPr>
              <w:pStyle w:val="30"/>
              <w:spacing w:before="129" w:line="293"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966" w:type="dxa"/>
            <w:vAlign w:val="top"/>
          </w:tcPr>
          <w:p w14:paraId="6316DE9C">
            <w:pPr>
              <w:rPr>
                <w:rFonts w:ascii="Arial"/>
                <w:color w:val="000000" w:themeColor="text1"/>
                <w:sz w:val="21"/>
                <w:u w:val="none" w:color="auto"/>
                <w14:textFill>
                  <w14:solidFill>
                    <w14:schemeClr w14:val="tx1"/>
                  </w14:solidFill>
                </w14:textFill>
              </w:rPr>
            </w:pPr>
          </w:p>
        </w:tc>
      </w:tr>
      <w:tr w14:paraId="2480B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52BD96A2">
            <w:pPr>
              <w:rPr>
                <w:rFonts w:ascii="Arial"/>
                <w:color w:val="000000" w:themeColor="text1"/>
                <w:sz w:val="21"/>
                <w:u w:val="none" w:color="auto"/>
                <w14:textFill>
                  <w14:solidFill>
                    <w14:schemeClr w14:val="tx1"/>
                  </w14:solidFill>
                </w14:textFill>
              </w:rPr>
            </w:pPr>
          </w:p>
        </w:tc>
        <w:tc>
          <w:tcPr>
            <w:tcW w:w="599" w:type="dxa"/>
            <w:vMerge w:val="continue"/>
            <w:tcBorders>
              <w:top w:val="nil"/>
              <w:bottom w:val="nil"/>
            </w:tcBorders>
            <w:vAlign w:val="top"/>
          </w:tcPr>
          <w:p w14:paraId="6A2E69EB">
            <w:pPr>
              <w:rPr>
                <w:rFonts w:ascii="Arial"/>
                <w:color w:val="000000" w:themeColor="text1"/>
                <w:sz w:val="21"/>
                <w:u w:val="none" w:color="auto"/>
                <w14:textFill>
                  <w14:solidFill>
                    <w14:schemeClr w14:val="tx1"/>
                  </w14:solidFill>
                </w14:textFill>
              </w:rPr>
            </w:pPr>
          </w:p>
        </w:tc>
        <w:tc>
          <w:tcPr>
            <w:tcW w:w="1028" w:type="dxa"/>
            <w:vMerge w:val="continue"/>
            <w:tcBorders>
              <w:top w:val="nil"/>
            </w:tcBorders>
            <w:vAlign w:val="top"/>
          </w:tcPr>
          <w:p w14:paraId="33ECF6D7">
            <w:pPr>
              <w:rPr>
                <w:rFonts w:ascii="Arial"/>
                <w:color w:val="000000" w:themeColor="text1"/>
                <w:sz w:val="21"/>
                <w:u w:val="none" w:color="auto"/>
                <w14:textFill>
                  <w14:solidFill>
                    <w14:schemeClr w14:val="tx1"/>
                  </w14:solidFill>
                </w14:textFill>
              </w:rPr>
            </w:pPr>
          </w:p>
        </w:tc>
        <w:tc>
          <w:tcPr>
            <w:tcW w:w="1358" w:type="dxa"/>
            <w:vAlign w:val="top"/>
          </w:tcPr>
          <w:p w14:paraId="66F86077">
            <w:pPr>
              <w:pStyle w:val="30"/>
              <w:spacing w:before="10" w:line="201" w:lineRule="auto"/>
              <w:ind w:left="307" w:right="69" w:hanging="208"/>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完成道路绿化</w:t>
            </w:r>
            <w:r>
              <w:rPr>
                <w:color w:val="000000" w:themeColor="text1"/>
                <w:spacing w:val="1"/>
                <w:u w:val="none" w:color="auto"/>
                <w14:textFill>
                  <w14:solidFill>
                    <w14:schemeClr w14:val="tx1"/>
                  </w14:solidFill>
                </w14:textFill>
              </w:rPr>
              <w:t>的及时性</w:t>
            </w:r>
          </w:p>
        </w:tc>
        <w:tc>
          <w:tcPr>
            <w:tcW w:w="625" w:type="dxa"/>
            <w:vAlign w:val="top"/>
          </w:tcPr>
          <w:p w14:paraId="5DCBC00C">
            <w:pPr>
              <w:pStyle w:val="30"/>
              <w:spacing w:before="130"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63C31631">
            <w:pPr>
              <w:pStyle w:val="30"/>
              <w:spacing w:before="10" w:line="211"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31766C57">
            <w:pPr>
              <w:pStyle w:val="30"/>
              <w:spacing w:line="191"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14146311">
            <w:pPr>
              <w:pStyle w:val="30"/>
              <w:spacing w:before="130" w:line="294" w:lineRule="exact"/>
              <w:ind w:left="278"/>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80</w:t>
            </w:r>
          </w:p>
        </w:tc>
        <w:tc>
          <w:tcPr>
            <w:tcW w:w="819" w:type="dxa"/>
            <w:vAlign w:val="top"/>
          </w:tcPr>
          <w:p w14:paraId="32FF7081">
            <w:pPr>
              <w:pStyle w:val="30"/>
              <w:spacing w:before="130" w:line="294" w:lineRule="exact"/>
              <w:ind w:left="31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80</w:t>
            </w:r>
          </w:p>
        </w:tc>
        <w:tc>
          <w:tcPr>
            <w:tcW w:w="661" w:type="dxa"/>
            <w:vAlign w:val="top"/>
          </w:tcPr>
          <w:p w14:paraId="68EB2083">
            <w:pPr>
              <w:pStyle w:val="30"/>
              <w:spacing w:before="130"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491E7766">
            <w:pPr>
              <w:pStyle w:val="30"/>
              <w:spacing w:before="130" w:line="293" w:lineRule="exact"/>
              <w:ind w:left="174"/>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405" w:type="dxa"/>
            <w:vAlign w:val="top"/>
          </w:tcPr>
          <w:p w14:paraId="776FAB13">
            <w:pPr>
              <w:pStyle w:val="30"/>
              <w:spacing w:before="130" w:line="293"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966" w:type="dxa"/>
            <w:vAlign w:val="top"/>
          </w:tcPr>
          <w:p w14:paraId="552A9AD4">
            <w:pPr>
              <w:rPr>
                <w:rFonts w:ascii="Arial"/>
                <w:color w:val="000000" w:themeColor="text1"/>
                <w:sz w:val="21"/>
                <w:u w:val="none" w:color="auto"/>
                <w14:textFill>
                  <w14:solidFill>
                    <w14:schemeClr w14:val="tx1"/>
                  </w14:solidFill>
                </w14:textFill>
              </w:rPr>
            </w:pPr>
          </w:p>
        </w:tc>
      </w:tr>
      <w:tr w14:paraId="74F5F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41A16B1F">
            <w:pPr>
              <w:rPr>
                <w:rFonts w:ascii="Arial"/>
                <w:color w:val="000000" w:themeColor="text1"/>
                <w:sz w:val="21"/>
                <w:u w:val="none" w:color="auto"/>
                <w14:textFill>
                  <w14:solidFill>
                    <w14:schemeClr w14:val="tx1"/>
                  </w14:solidFill>
                </w14:textFill>
              </w:rPr>
            </w:pPr>
          </w:p>
        </w:tc>
        <w:tc>
          <w:tcPr>
            <w:tcW w:w="599" w:type="dxa"/>
            <w:vMerge w:val="continue"/>
            <w:tcBorders>
              <w:top w:val="nil"/>
              <w:bottom w:val="nil"/>
            </w:tcBorders>
            <w:vAlign w:val="top"/>
          </w:tcPr>
          <w:p w14:paraId="0B1A72AE">
            <w:pPr>
              <w:rPr>
                <w:rFonts w:ascii="Arial"/>
                <w:color w:val="000000" w:themeColor="text1"/>
                <w:sz w:val="21"/>
                <w:u w:val="none" w:color="auto"/>
                <w14:textFill>
                  <w14:solidFill>
                    <w14:schemeClr w14:val="tx1"/>
                  </w14:solidFill>
                </w14:textFill>
              </w:rPr>
            </w:pPr>
          </w:p>
        </w:tc>
        <w:tc>
          <w:tcPr>
            <w:tcW w:w="1028" w:type="dxa"/>
            <w:vMerge w:val="restart"/>
            <w:tcBorders>
              <w:bottom w:val="nil"/>
            </w:tcBorders>
            <w:vAlign w:val="top"/>
          </w:tcPr>
          <w:p w14:paraId="5316558E">
            <w:pPr>
              <w:spacing w:line="309" w:lineRule="auto"/>
              <w:rPr>
                <w:rFonts w:ascii="Arial"/>
                <w:color w:val="000000" w:themeColor="text1"/>
                <w:sz w:val="21"/>
                <w:u w:val="none" w:color="auto"/>
                <w14:textFill>
                  <w14:solidFill>
                    <w14:schemeClr w14:val="tx1"/>
                  </w14:solidFill>
                </w14:textFill>
              </w:rPr>
            </w:pPr>
          </w:p>
          <w:p w14:paraId="275F4A8C">
            <w:pPr>
              <w:pStyle w:val="30"/>
              <w:spacing w:before="69" w:line="241" w:lineRule="auto"/>
              <w:ind w:left="129"/>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成本指标</w:t>
            </w:r>
          </w:p>
        </w:tc>
        <w:tc>
          <w:tcPr>
            <w:tcW w:w="1358" w:type="dxa"/>
            <w:vAlign w:val="top"/>
          </w:tcPr>
          <w:p w14:paraId="2EF0A13E">
            <w:pPr>
              <w:pStyle w:val="30"/>
              <w:spacing w:before="131" w:line="241" w:lineRule="auto"/>
              <w:ind w:left="90"/>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道路成本控制</w:t>
            </w:r>
          </w:p>
        </w:tc>
        <w:tc>
          <w:tcPr>
            <w:tcW w:w="625" w:type="dxa"/>
            <w:vAlign w:val="top"/>
          </w:tcPr>
          <w:p w14:paraId="599A40ED">
            <w:pPr>
              <w:pStyle w:val="30"/>
              <w:spacing w:before="131"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5045606F">
            <w:pPr>
              <w:pStyle w:val="30"/>
              <w:spacing w:before="11" w:line="211"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2E356F0B">
            <w:pPr>
              <w:pStyle w:val="30"/>
              <w:spacing w:line="190"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76D665AF">
            <w:pPr>
              <w:pStyle w:val="30"/>
              <w:spacing w:before="131" w:line="291" w:lineRule="exact"/>
              <w:ind w:left="282"/>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819" w:type="dxa"/>
            <w:vAlign w:val="top"/>
          </w:tcPr>
          <w:p w14:paraId="140CA73A">
            <w:pPr>
              <w:pStyle w:val="30"/>
              <w:spacing w:before="131" w:line="291" w:lineRule="exact"/>
              <w:ind w:left="326"/>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661" w:type="dxa"/>
            <w:vAlign w:val="top"/>
          </w:tcPr>
          <w:p w14:paraId="1EC159F5">
            <w:pPr>
              <w:pStyle w:val="30"/>
              <w:spacing w:before="131"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25EB69AA">
            <w:pPr>
              <w:pStyle w:val="30"/>
              <w:spacing w:before="131" w:line="293" w:lineRule="exact"/>
              <w:ind w:left="174"/>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405" w:type="dxa"/>
            <w:vAlign w:val="top"/>
          </w:tcPr>
          <w:p w14:paraId="0B709F1C">
            <w:pPr>
              <w:pStyle w:val="30"/>
              <w:spacing w:before="131" w:line="293"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966" w:type="dxa"/>
            <w:vAlign w:val="top"/>
          </w:tcPr>
          <w:p w14:paraId="3B496464">
            <w:pPr>
              <w:rPr>
                <w:rFonts w:ascii="Arial"/>
                <w:color w:val="000000" w:themeColor="text1"/>
                <w:sz w:val="21"/>
                <w:u w:val="none" w:color="auto"/>
                <w14:textFill>
                  <w14:solidFill>
                    <w14:schemeClr w14:val="tx1"/>
                  </w14:solidFill>
                </w14:textFill>
              </w:rPr>
            </w:pPr>
          </w:p>
        </w:tc>
      </w:tr>
      <w:tr w14:paraId="05B21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0DB8950E">
            <w:pPr>
              <w:rPr>
                <w:rFonts w:ascii="Arial"/>
                <w:color w:val="000000" w:themeColor="text1"/>
                <w:sz w:val="21"/>
                <w:u w:val="none" w:color="auto"/>
                <w14:textFill>
                  <w14:solidFill>
                    <w14:schemeClr w14:val="tx1"/>
                  </w14:solidFill>
                </w14:textFill>
              </w:rPr>
            </w:pPr>
          </w:p>
        </w:tc>
        <w:tc>
          <w:tcPr>
            <w:tcW w:w="599" w:type="dxa"/>
            <w:vMerge w:val="continue"/>
            <w:tcBorders>
              <w:top w:val="nil"/>
            </w:tcBorders>
            <w:vAlign w:val="top"/>
          </w:tcPr>
          <w:p w14:paraId="01D763FF">
            <w:pPr>
              <w:rPr>
                <w:rFonts w:ascii="Arial"/>
                <w:color w:val="000000" w:themeColor="text1"/>
                <w:sz w:val="21"/>
                <w:u w:val="none" w:color="auto"/>
                <w14:textFill>
                  <w14:solidFill>
                    <w14:schemeClr w14:val="tx1"/>
                  </w14:solidFill>
                </w14:textFill>
              </w:rPr>
            </w:pPr>
          </w:p>
        </w:tc>
        <w:tc>
          <w:tcPr>
            <w:tcW w:w="1028" w:type="dxa"/>
            <w:vMerge w:val="continue"/>
            <w:tcBorders>
              <w:top w:val="nil"/>
            </w:tcBorders>
            <w:vAlign w:val="top"/>
          </w:tcPr>
          <w:p w14:paraId="1C53CE97">
            <w:pPr>
              <w:rPr>
                <w:rFonts w:ascii="Arial"/>
                <w:color w:val="000000" w:themeColor="text1"/>
                <w:sz w:val="21"/>
                <w:u w:val="none" w:color="auto"/>
                <w14:textFill>
                  <w14:solidFill>
                    <w14:schemeClr w14:val="tx1"/>
                  </w14:solidFill>
                </w14:textFill>
              </w:rPr>
            </w:pPr>
          </w:p>
        </w:tc>
        <w:tc>
          <w:tcPr>
            <w:tcW w:w="1358" w:type="dxa"/>
            <w:vAlign w:val="top"/>
          </w:tcPr>
          <w:p w14:paraId="703DAA2D">
            <w:pPr>
              <w:pStyle w:val="30"/>
              <w:spacing w:before="131" w:line="241" w:lineRule="auto"/>
              <w:ind w:left="96"/>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绿化成本控制</w:t>
            </w:r>
          </w:p>
        </w:tc>
        <w:tc>
          <w:tcPr>
            <w:tcW w:w="625" w:type="dxa"/>
            <w:vAlign w:val="top"/>
          </w:tcPr>
          <w:p w14:paraId="000396FB">
            <w:pPr>
              <w:pStyle w:val="30"/>
              <w:spacing w:before="131"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1CEE8DA3">
            <w:pPr>
              <w:pStyle w:val="30"/>
              <w:spacing w:before="11" w:line="212"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7DE19F31">
            <w:pPr>
              <w:pStyle w:val="30"/>
              <w:spacing w:line="189"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28AB69FD">
            <w:pPr>
              <w:pStyle w:val="30"/>
              <w:spacing w:before="131" w:line="291" w:lineRule="exact"/>
              <w:ind w:left="282"/>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819" w:type="dxa"/>
            <w:vAlign w:val="top"/>
          </w:tcPr>
          <w:p w14:paraId="261EBCAD">
            <w:pPr>
              <w:pStyle w:val="30"/>
              <w:spacing w:before="131" w:line="291" w:lineRule="exact"/>
              <w:ind w:left="326"/>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661" w:type="dxa"/>
            <w:vAlign w:val="top"/>
          </w:tcPr>
          <w:p w14:paraId="75A85A98">
            <w:pPr>
              <w:pStyle w:val="30"/>
              <w:spacing w:before="131"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64622623">
            <w:pPr>
              <w:pStyle w:val="30"/>
              <w:spacing w:before="131" w:line="293" w:lineRule="exact"/>
              <w:ind w:left="174"/>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405" w:type="dxa"/>
            <w:vAlign w:val="top"/>
          </w:tcPr>
          <w:p w14:paraId="45DE7480">
            <w:pPr>
              <w:pStyle w:val="30"/>
              <w:spacing w:before="131" w:line="293"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966" w:type="dxa"/>
            <w:vAlign w:val="top"/>
          </w:tcPr>
          <w:p w14:paraId="65456727">
            <w:pPr>
              <w:rPr>
                <w:rFonts w:ascii="Arial"/>
                <w:color w:val="000000" w:themeColor="text1"/>
                <w:sz w:val="21"/>
                <w:u w:val="none" w:color="auto"/>
                <w14:textFill>
                  <w14:solidFill>
                    <w14:schemeClr w14:val="tx1"/>
                  </w14:solidFill>
                </w14:textFill>
              </w:rPr>
            </w:pPr>
          </w:p>
        </w:tc>
      </w:tr>
      <w:tr w14:paraId="3DFC8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42E1FF89">
            <w:pPr>
              <w:rPr>
                <w:rFonts w:ascii="Arial"/>
                <w:color w:val="000000" w:themeColor="text1"/>
                <w:sz w:val="21"/>
                <w:u w:val="none" w:color="auto"/>
                <w14:textFill>
                  <w14:solidFill>
                    <w14:schemeClr w14:val="tx1"/>
                  </w14:solidFill>
                </w14:textFill>
              </w:rPr>
            </w:pPr>
          </w:p>
        </w:tc>
        <w:tc>
          <w:tcPr>
            <w:tcW w:w="599" w:type="dxa"/>
            <w:vMerge w:val="restart"/>
            <w:tcBorders>
              <w:bottom w:val="nil"/>
            </w:tcBorders>
            <w:vAlign w:val="top"/>
          </w:tcPr>
          <w:p w14:paraId="4A3B16EB">
            <w:pPr>
              <w:spacing w:line="341" w:lineRule="auto"/>
              <w:rPr>
                <w:rFonts w:ascii="Arial"/>
                <w:color w:val="000000" w:themeColor="text1"/>
                <w:sz w:val="21"/>
                <w:u w:val="none" w:color="auto"/>
                <w14:textFill>
                  <w14:solidFill>
                    <w14:schemeClr w14:val="tx1"/>
                  </w14:solidFill>
                </w14:textFill>
              </w:rPr>
            </w:pPr>
          </w:p>
          <w:p w14:paraId="4ACDAB4A">
            <w:pPr>
              <w:spacing w:line="341" w:lineRule="auto"/>
              <w:rPr>
                <w:rFonts w:ascii="Arial"/>
                <w:color w:val="000000" w:themeColor="text1"/>
                <w:sz w:val="21"/>
                <w:u w:val="none" w:color="auto"/>
                <w14:textFill>
                  <w14:solidFill>
                    <w14:schemeClr w14:val="tx1"/>
                  </w14:solidFill>
                </w14:textFill>
              </w:rPr>
            </w:pPr>
          </w:p>
          <w:p w14:paraId="47F7B42F">
            <w:pPr>
              <w:pStyle w:val="30"/>
              <w:spacing w:before="69" w:line="227" w:lineRule="auto"/>
              <w:ind w:left="108" w:right="90" w:firstLine="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效益</w:t>
            </w:r>
            <w:r>
              <w:rPr>
                <w:color w:val="000000" w:themeColor="text1"/>
                <w:spacing w:val="2"/>
                <w:u w:val="none" w:color="auto"/>
                <w14:textFill>
                  <w14:solidFill>
                    <w14:schemeClr w14:val="tx1"/>
                  </w14:solidFill>
                </w14:textFill>
              </w:rPr>
              <w:t>指标</w:t>
            </w:r>
          </w:p>
        </w:tc>
        <w:tc>
          <w:tcPr>
            <w:tcW w:w="1028" w:type="dxa"/>
            <w:vAlign w:val="top"/>
          </w:tcPr>
          <w:p w14:paraId="3800A22B">
            <w:pPr>
              <w:pStyle w:val="30"/>
              <w:spacing w:before="131" w:line="242" w:lineRule="auto"/>
              <w:ind w:left="129"/>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经济效益</w:t>
            </w:r>
          </w:p>
        </w:tc>
        <w:tc>
          <w:tcPr>
            <w:tcW w:w="1358" w:type="dxa"/>
            <w:vAlign w:val="top"/>
          </w:tcPr>
          <w:p w14:paraId="28ED7E3D">
            <w:pPr>
              <w:pStyle w:val="30"/>
              <w:spacing w:before="12" w:line="200" w:lineRule="auto"/>
              <w:ind w:left="490" w:right="69" w:hanging="400"/>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道路两侧土地</w:t>
            </w:r>
            <w:r>
              <w:rPr>
                <w:color w:val="000000" w:themeColor="text1"/>
                <w:spacing w:val="2"/>
                <w:u w:val="none" w:color="auto"/>
                <w14:textFill>
                  <w14:solidFill>
                    <w14:schemeClr w14:val="tx1"/>
                  </w14:solidFill>
                </w14:textFill>
              </w:rPr>
              <w:t>增值</w:t>
            </w:r>
          </w:p>
        </w:tc>
        <w:tc>
          <w:tcPr>
            <w:tcW w:w="625" w:type="dxa"/>
            <w:vAlign w:val="top"/>
          </w:tcPr>
          <w:p w14:paraId="0FDF5BBD">
            <w:pPr>
              <w:pStyle w:val="30"/>
              <w:spacing w:before="132"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431B0380">
            <w:pPr>
              <w:pStyle w:val="30"/>
              <w:spacing w:before="12" w:line="212"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0F8FA965">
            <w:pPr>
              <w:pStyle w:val="30"/>
              <w:spacing w:line="188"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576BC288">
            <w:pPr>
              <w:pStyle w:val="30"/>
              <w:spacing w:before="132" w:line="293" w:lineRule="exact"/>
              <w:ind w:left="328"/>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819" w:type="dxa"/>
            <w:vAlign w:val="top"/>
          </w:tcPr>
          <w:p w14:paraId="62D972C8">
            <w:pPr>
              <w:pStyle w:val="30"/>
              <w:spacing w:before="132" w:line="293" w:lineRule="exact"/>
              <w:ind w:left="372"/>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661" w:type="dxa"/>
            <w:vAlign w:val="top"/>
          </w:tcPr>
          <w:p w14:paraId="7ED42F64">
            <w:pPr>
              <w:pStyle w:val="30"/>
              <w:spacing w:before="132" w:line="242" w:lineRule="auto"/>
              <w:ind w:left="244"/>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倍</w:t>
            </w:r>
          </w:p>
        </w:tc>
        <w:tc>
          <w:tcPr>
            <w:tcW w:w="417" w:type="dxa"/>
            <w:vAlign w:val="top"/>
          </w:tcPr>
          <w:p w14:paraId="36FB6A96">
            <w:pPr>
              <w:pStyle w:val="30"/>
              <w:spacing w:before="132" w:line="294" w:lineRule="exact"/>
              <w:ind w:left="12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405" w:type="dxa"/>
            <w:vAlign w:val="top"/>
          </w:tcPr>
          <w:p w14:paraId="1AEF3BBA">
            <w:pPr>
              <w:pStyle w:val="30"/>
              <w:spacing w:before="132" w:line="294" w:lineRule="exact"/>
              <w:ind w:left="122"/>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966" w:type="dxa"/>
            <w:vAlign w:val="top"/>
          </w:tcPr>
          <w:p w14:paraId="3BF9E1F8">
            <w:pPr>
              <w:rPr>
                <w:rFonts w:ascii="Arial"/>
                <w:color w:val="000000" w:themeColor="text1"/>
                <w:sz w:val="21"/>
                <w:u w:val="none" w:color="auto"/>
                <w14:textFill>
                  <w14:solidFill>
                    <w14:schemeClr w14:val="tx1"/>
                  </w14:solidFill>
                </w14:textFill>
              </w:rPr>
            </w:pPr>
          </w:p>
        </w:tc>
      </w:tr>
      <w:tr w14:paraId="23533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600F0896">
            <w:pPr>
              <w:rPr>
                <w:rFonts w:ascii="Arial"/>
                <w:color w:val="000000" w:themeColor="text1"/>
                <w:sz w:val="21"/>
                <w:u w:val="none" w:color="auto"/>
                <w14:textFill>
                  <w14:solidFill>
                    <w14:schemeClr w14:val="tx1"/>
                  </w14:solidFill>
                </w14:textFill>
              </w:rPr>
            </w:pPr>
          </w:p>
        </w:tc>
        <w:tc>
          <w:tcPr>
            <w:tcW w:w="599" w:type="dxa"/>
            <w:vMerge w:val="continue"/>
            <w:tcBorders>
              <w:top w:val="nil"/>
              <w:bottom w:val="nil"/>
            </w:tcBorders>
            <w:vAlign w:val="top"/>
          </w:tcPr>
          <w:p w14:paraId="5D744BCD">
            <w:pPr>
              <w:rPr>
                <w:rFonts w:ascii="Arial"/>
                <w:color w:val="000000" w:themeColor="text1"/>
                <w:sz w:val="21"/>
                <w:u w:val="none" w:color="auto"/>
                <w14:textFill>
                  <w14:solidFill>
                    <w14:schemeClr w14:val="tx1"/>
                  </w14:solidFill>
                </w14:textFill>
              </w:rPr>
            </w:pPr>
          </w:p>
        </w:tc>
        <w:tc>
          <w:tcPr>
            <w:tcW w:w="1028" w:type="dxa"/>
            <w:vAlign w:val="top"/>
          </w:tcPr>
          <w:p w14:paraId="0FAD9C53">
            <w:pPr>
              <w:pStyle w:val="30"/>
              <w:spacing w:before="133" w:line="279" w:lineRule="exact"/>
              <w:ind w:left="126"/>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社会效益</w:t>
            </w:r>
          </w:p>
        </w:tc>
        <w:tc>
          <w:tcPr>
            <w:tcW w:w="1358" w:type="dxa"/>
            <w:vAlign w:val="top"/>
          </w:tcPr>
          <w:p w14:paraId="2D95499D">
            <w:pPr>
              <w:pStyle w:val="30"/>
              <w:spacing w:before="12" w:line="200" w:lineRule="auto"/>
              <w:ind w:left="212" w:right="69" w:hanging="106"/>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改善双河区居</w:t>
            </w:r>
            <w:r>
              <w:rPr>
                <w:color w:val="000000" w:themeColor="text1"/>
                <w:spacing w:val="2"/>
                <w:u w:val="none" w:color="auto"/>
                <w14:textFill>
                  <w14:solidFill>
                    <w14:schemeClr w14:val="tx1"/>
                  </w14:solidFill>
                </w14:textFill>
              </w:rPr>
              <w:t>民生活条件</w:t>
            </w:r>
          </w:p>
        </w:tc>
        <w:tc>
          <w:tcPr>
            <w:tcW w:w="625" w:type="dxa"/>
            <w:vAlign w:val="top"/>
          </w:tcPr>
          <w:p w14:paraId="56DB4102">
            <w:pPr>
              <w:pStyle w:val="30"/>
              <w:spacing w:before="133"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74043222">
            <w:pPr>
              <w:pStyle w:val="30"/>
              <w:spacing w:before="13" w:line="211"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006C838A">
            <w:pPr>
              <w:pStyle w:val="30"/>
              <w:spacing w:line="188"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72CB13E4">
            <w:pPr>
              <w:pStyle w:val="30"/>
              <w:spacing w:before="133" w:line="291" w:lineRule="exact"/>
              <w:ind w:left="282"/>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819" w:type="dxa"/>
            <w:vAlign w:val="top"/>
          </w:tcPr>
          <w:p w14:paraId="3A93F7F1">
            <w:pPr>
              <w:pStyle w:val="30"/>
              <w:spacing w:before="133" w:line="291" w:lineRule="exact"/>
              <w:ind w:left="326"/>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661" w:type="dxa"/>
            <w:vAlign w:val="top"/>
          </w:tcPr>
          <w:p w14:paraId="18314377">
            <w:pPr>
              <w:pStyle w:val="30"/>
              <w:spacing w:before="133"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68D893E8">
            <w:pPr>
              <w:pStyle w:val="30"/>
              <w:spacing w:before="133" w:line="294" w:lineRule="exact"/>
              <w:ind w:left="12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405" w:type="dxa"/>
            <w:vAlign w:val="top"/>
          </w:tcPr>
          <w:p w14:paraId="765982C8">
            <w:pPr>
              <w:pStyle w:val="30"/>
              <w:spacing w:before="133" w:line="294" w:lineRule="exact"/>
              <w:ind w:left="122"/>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966" w:type="dxa"/>
            <w:vAlign w:val="top"/>
          </w:tcPr>
          <w:p w14:paraId="45C0CA17">
            <w:pPr>
              <w:rPr>
                <w:rFonts w:ascii="Arial"/>
                <w:color w:val="000000" w:themeColor="text1"/>
                <w:sz w:val="21"/>
                <w:u w:val="none" w:color="auto"/>
                <w14:textFill>
                  <w14:solidFill>
                    <w14:schemeClr w14:val="tx1"/>
                  </w14:solidFill>
                </w14:textFill>
              </w:rPr>
            </w:pPr>
          </w:p>
        </w:tc>
      </w:tr>
      <w:tr w14:paraId="71EA5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6A5C42CB">
            <w:pPr>
              <w:rPr>
                <w:rFonts w:ascii="Arial"/>
                <w:color w:val="000000" w:themeColor="text1"/>
                <w:sz w:val="21"/>
                <w:u w:val="none" w:color="auto"/>
                <w14:textFill>
                  <w14:solidFill>
                    <w14:schemeClr w14:val="tx1"/>
                  </w14:solidFill>
                </w14:textFill>
              </w:rPr>
            </w:pPr>
          </w:p>
        </w:tc>
        <w:tc>
          <w:tcPr>
            <w:tcW w:w="599" w:type="dxa"/>
            <w:vMerge w:val="continue"/>
            <w:tcBorders>
              <w:top w:val="nil"/>
              <w:bottom w:val="nil"/>
            </w:tcBorders>
            <w:vAlign w:val="top"/>
          </w:tcPr>
          <w:p w14:paraId="3E63DE63">
            <w:pPr>
              <w:rPr>
                <w:rFonts w:ascii="Arial"/>
                <w:color w:val="000000" w:themeColor="text1"/>
                <w:sz w:val="21"/>
                <w:u w:val="none" w:color="auto"/>
                <w14:textFill>
                  <w14:solidFill>
                    <w14:schemeClr w14:val="tx1"/>
                  </w14:solidFill>
                </w14:textFill>
              </w:rPr>
            </w:pPr>
          </w:p>
        </w:tc>
        <w:tc>
          <w:tcPr>
            <w:tcW w:w="1028" w:type="dxa"/>
            <w:vAlign w:val="top"/>
          </w:tcPr>
          <w:p w14:paraId="539ABDC4">
            <w:pPr>
              <w:pStyle w:val="30"/>
              <w:spacing w:before="134" w:line="280" w:lineRule="exact"/>
              <w:ind w:left="136"/>
              <w:rPr>
                <w:color w:val="000000" w:themeColor="text1"/>
                <w:u w:val="none" w:color="auto"/>
                <w14:textFill>
                  <w14:solidFill>
                    <w14:schemeClr w14:val="tx1"/>
                  </w14:solidFill>
                </w14:textFill>
              </w:rPr>
            </w:pPr>
            <w:r>
              <w:rPr>
                <w:color w:val="000000" w:themeColor="text1"/>
                <w:spacing w:val="3"/>
                <w:position w:val="2"/>
                <w:u w:val="none" w:color="auto"/>
                <w14:textFill>
                  <w14:solidFill>
                    <w14:schemeClr w14:val="tx1"/>
                  </w14:solidFill>
                </w14:textFill>
              </w:rPr>
              <w:t>生态效益</w:t>
            </w:r>
          </w:p>
        </w:tc>
        <w:tc>
          <w:tcPr>
            <w:tcW w:w="1358" w:type="dxa"/>
            <w:vAlign w:val="top"/>
          </w:tcPr>
          <w:p w14:paraId="6DCED1C8">
            <w:pPr>
              <w:pStyle w:val="30"/>
              <w:spacing w:before="14" w:line="199" w:lineRule="auto"/>
              <w:ind w:left="586" w:right="69" w:hanging="480"/>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改善双河区环</w:t>
            </w:r>
            <w:r>
              <w:rPr>
                <w:color w:val="000000" w:themeColor="text1"/>
                <w:u w:val="none" w:color="auto"/>
                <w14:textFill>
                  <w14:solidFill>
                    <w14:schemeClr w14:val="tx1"/>
                  </w14:solidFill>
                </w14:textFill>
              </w:rPr>
              <w:t>境</w:t>
            </w:r>
          </w:p>
        </w:tc>
        <w:tc>
          <w:tcPr>
            <w:tcW w:w="625" w:type="dxa"/>
            <w:vAlign w:val="top"/>
          </w:tcPr>
          <w:p w14:paraId="3944A31B">
            <w:pPr>
              <w:pStyle w:val="30"/>
              <w:spacing w:before="134"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69B37627">
            <w:pPr>
              <w:pStyle w:val="30"/>
              <w:spacing w:before="14" w:line="211"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3F75716F">
            <w:pPr>
              <w:pStyle w:val="30"/>
              <w:spacing w:line="187"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79B120FC">
            <w:pPr>
              <w:pStyle w:val="30"/>
              <w:spacing w:before="134" w:line="291" w:lineRule="exact"/>
              <w:ind w:left="282"/>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819" w:type="dxa"/>
            <w:vAlign w:val="top"/>
          </w:tcPr>
          <w:p w14:paraId="0A0EEC82">
            <w:pPr>
              <w:pStyle w:val="30"/>
              <w:spacing w:before="134" w:line="291" w:lineRule="exact"/>
              <w:ind w:left="326"/>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661" w:type="dxa"/>
            <w:vAlign w:val="top"/>
          </w:tcPr>
          <w:p w14:paraId="1F567240">
            <w:pPr>
              <w:pStyle w:val="30"/>
              <w:spacing w:before="134"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5F3DF7A8">
            <w:pPr>
              <w:pStyle w:val="30"/>
              <w:spacing w:before="134" w:line="293" w:lineRule="exact"/>
              <w:ind w:left="174"/>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405" w:type="dxa"/>
            <w:vAlign w:val="top"/>
          </w:tcPr>
          <w:p w14:paraId="368951BA">
            <w:pPr>
              <w:pStyle w:val="30"/>
              <w:spacing w:before="134" w:line="293"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966" w:type="dxa"/>
            <w:vAlign w:val="top"/>
          </w:tcPr>
          <w:p w14:paraId="0C2A828A">
            <w:pPr>
              <w:rPr>
                <w:rFonts w:ascii="Arial"/>
                <w:color w:val="000000" w:themeColor="text1"/>
                <w:sz w:val="21"/>
                <w:u w:val="none" w:color="auto"/>
                <w14:textFill>
                  <w14:solidFill>
                    <w14:schemeClr w14:val="tx1"/>
                  </w14:solidFill>
                </w14:textFill>
              </w:rPr>
            </w:pPr>
          </w:p>
        </w:tc>
      </w:tr>
      <w:tr w14:paraId="4BA84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492FFEDF">
            <w:pPr>
              <w:rPr>
                <w:rFonts w:ascii="Arial"/>
                <w:color w:val="000000" w:themeColor="text1"/>
                <w:sz w:val="21"/>
                <w:u w:val="none" w:color="auto"/>
                <w14:textFill>
                  <w14:solidFill>
                    <w14:schemeClr w14:val="tx1"/>
                  </w14:solidFill>
                </w14:textFill>
              </w:rPr>
            </w:pPr>
          </w:p>
        </w:tc>
        <w:tc>
          <w:tcPr>
            <w:tcW w:w="599" w:type="dxa"/>
            <w:vMerge w:val="continue"/>
            <w:tcBorders>
              <w:top w:val="nil"/>
            </w:tcBorders>
            <w:vAlign w:val="top"/>
          </w:tcPr>
          <w:p w14:paraId="57353B79">
            <w:pPr>
              <w:rPr>
                <w:rFonts w:ascii="Arial"/>
                <w:color w:val="000000" w:themeColor="text1"/>
                <w:sz w:val="21"/>
                <w:u w:val="none" w:color="auto"/>
                <w14:textFill>
                  <w14:solidFill>
                    <w14:schemeClr w14:val="tx1"/>
                  </w14:solidFill>
                </w14:textFill>
              </w:rPr>
            </w:pPr>
          </w:p>
        </w:tc>
        <w:tc>
          <w:tcPr>
            <w:tcW w:w="1028" w:type="dxa"/>
            <w:vAlign w:val="top"/>
          </w:tcPr>
          <w:p w14:paraId="4FBE224F">
            <w:pPr>
              <w:pStyle w:val="30"/>
              <w:spacing w:before="14" w:line="199" w:lineRule="auto"/>
              <w:ind w:left="432" w:right="103" w:hanging="301"/>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可持续影</w:t>
            </w:r>
            <w:r>
              <w:rPr>
                <w:color w:val="000000" w:themeColor="text1"/>
                <w:u w:val="none" w:color="auto"/>
                <w14:textFill>
                  <w14:solidFill>
                    <w14:schemeClr w14:val="tx1"/>
                  </w14:solidFill>
                </w14:textFill>
              </w:rPr>
              <w:t>响</w:t>
            </w:r>
          </w:p>
        </w:tc>
        <w:tc>
          <w:tcPr>
            <w:tcW w:w="1358" w:type="dxa"/>
            <w:vAlign w:val="top"/>
          </w:tcPr>
          <w:p w14:paraId="39E59A05">
            <w:pPr>
              <w:pStyle w:val="30"/>
              <w:spacing w:before="14" w:line="199" w:lineRule="auto"/>
              <w:ind w:left="392" w:right="69" w:hanging="290"/>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营造良好的开</w:t>
            </w:r>
            <w:r>
              <w:rPr>
                <w:color w:val="000000" w:themeColor="text1"/>
                <w:spacing w:val="4"/>
                <w:u w:val="none" w:color="auto"/>
                <w14:textFill>
                  <w14:solidFill>
                    <w14:schemeClr w14:val="tx1"/>
                  </w14:solidFill>
                </w14:textFill>
              </w:rPr>
              <w:t>发环境</w:t>
            </w:r>
          </w:p>
        </w:tc>
        <w:tc>
          <w:tcPr>
            <w:tcW w:w="625" w:type="dxa"/>
            <w:vAlign w:val="top"/>
          </w:tcPr>
          <w:p w14:paraId="7063EF7E">
            <w:pPr>
              <w:pStyle w:val="30"/>
              <w:spacing w:before="135"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6FCB9394">
            <w:pPr>
              <w:pStyle w:val="30"/>
              <w:spacing w:before="15" w:line="211"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4A14815B">
            <w:pPr>
              <w:pStyle w:val="30"/>
              <w:spacing w:line="186"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741932AC">
            <w:pPr>
              <w:pStyle w:val="30"/>
              <w:spacing w:before="135" w:line="291" w:lineRule="exact"/>
              <w:ind w:left="282"/>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819" w:type="dxa"/>
            <w:vAlign w:val="top"/>
          </w:tcPr>
          <w:p w14:paraId="2B4D9255">
            <w:pPr>
              <w:pStyle w:val="30"/>
              <w:spacing w:before="135" w:line="291" w:lineRule="exact"/>
              <w:ind w:left="326"/>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661" w:type="dxa"/>
            <w:vAlign w:val="top"/>
          </w:tcPr>
          <w:p w14:paraId="598C0CDC">
            <w:pPr>
              <w:pStyle w:val="30"/>
              <w:spacing w:before="135"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11D9FCCA">
            <w:pPr>
              <w:pStyle w:val="30"/>
              <w:spacing w:before="135" w:line="293" w:lineRule="exact"/>
              <w:ind w:left="174"/>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405" w:type="dxa"/>
            <w:vAlign w:val="top"/>
          </w:tcPr>
          <w:p w14:paraId="4D96FFA2">
            <w:pPr>
              <w:pStyle w:val="30"/>
              <w:spacing w:before="135" w:line="293"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966" w:type="dxa"/>
            <w:vAlign w:val="top"/>
          </w:tcPr>
          <w:p w14:paraId="1703E3E9">
            <w:pPr>
              <w:rPr>
                <w:rFonts w:ascii="Arial"/>
                <w:color w:val="000000" w:themeColor="text1"/>
                <w:sz w:val="21"/>
                <w:u w:val="none" w:color="auto"/>
                <w14:textFill>
                  <w14:solidFill>
                    <w14:schemeClr w14:val="tx1"/>
                  </w14:solidFill>
                </w14:textFill>
              </w:rPr>
            </w:pPr>
          </w:p>
        </w:tc>
      </w:tr>
      <w:tr w14:paraId="5FC10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8" w:hRule="atLeast"/>
        </w:trPr>
        <w:tc>
          <w:tcPr>
            <w:tcW w:w="525" w:type="dxa"/>
            <w:vMerge w:val="continue"/>
            <w:tcBorders>
              <w:top w:val="nil"/>
            </w:tcBorders>
            <w:vAlign w:val="top"/>
          </w:tcPr>
          <w:p w14:paraId="36D436D2">
            <w:pPr>
              <w:rPr>
                <w:rFonts w:ascii="Arial"/>
                <w:color w:val="000000" w:themeColor="text1"/>
                <w:sz w:val="21"/>
                <w:u w:val="none" w:color="auto"/>
                <w14:textFill>
                  <w14:solidFill>
                    <w14:schemeClr w14:val="tx1"/>
                  </w14:solidFill>
                </w14:textFill>
              </w:rPr>
            </w:pPr>
          </w:p>
        </w:tc>
        <w:tc>
          <w:tcPr>
            <w:tcW w:w="599" w:type="dxa"/>
            <w:vAlign w:val="top"/>
          </w:tcPr>
          <w:p w14:paraId="02372BD5">
            <w:pPr>
              <w:pStyle w:val="30"/>
              <w:spacing w:before="8" w:line="209" w:lineRule="auto"/>
              <w:ind w:left="115"/>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满意</w:t>
            </w:r>
          </w:p>
          <w:p w14:paraId="06152949">
            <w:pPr>
              <w:pStyle w:val="30"/>
              <w:spacing w:line="241" w:lineRule="auto"/>
              <w:ind w:left="104"/>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度指</w:t>
            </w:r>
          </w:p>
        </w:tc>
        <w:tc>
          <w:tcPr>
            <w:tcW w:w="1028" w:type="dxa"/>
            <w:vAlign w:val="top"/>
          </w:tcPr>
          <w:p w14:paraId="16348DC5">
            <w:pPr>
              <w:pStyle w:val="30"/>
              <w:spacing w:before="49" w:line="213" w:lineRule="auto"/>
              <w:ind w:left="231" w:right="103" w:hanging="106"/>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服务对象</w:t>
            </w:r>
            <w:r>
              <w:rPr>
                <w:color w:val="000000" w:themeColor="text1"/>
                <w:spacing w:val="2"/>
                <w:u w:val="none" w:color="auto"/>
                <w14:textFill>
                  <w14:solidFill>
                    <w14:schemeClr w14:val="tx1"/>
                  </w14:solidFill>
                </w14:textFill>
              </w:rPr>
              <w:t>满意度</w:t>
            </w:r>
          </w:p>
        </w:tc>
        <w:tc>
          <w:tcPr>
            <w:tcW w:w="1358" w:type="dxa"/>
            <w:vAlign w:val="top"/>
          </w:tcPr>
          <w:p w14:paraId="08AE80D6">
            <w:pPr>
              <w:pStyle w:val="30"/>
              <w:spacing w:before="169" w:line="241" w:lineRule="auto"/>
              <w:ind w:left="106"/>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改善出行条件</w:t>
            </w:r>
          </w:p>
        </w:tc>
        <w:tc>
          <w:tcPr>
            <w:tcW w:w="625" w:type="dxa"/>
            <w:vAlign w:val="top"/>
          </w:tcPr>
          <w:p w14:paraId="365DFD95">
            <w:pPr>
              <w:pStyle w:val="30"/>
              <w:spacing w:before="169"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2A68EB0C">
            <w:pPr>
              <w:pStyle w:val="30"/>
              <w:spacing w:before="49" w:line="209"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46E9B76D">
            <w:pPr>
              <w:pStyle w:val="30"/>
              <w:spacing w:line="217"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4A021C29">
            <w:pPr>
              <w:pStyle w:val="30"/>
              <w:spacing w:before="169" w:line="291" w:lineRule="exact"/>
              <w:ind w:left="282"/>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819" w:type="dxa"/>
            <w:vAlign w:val="top"/>
          </w:tcPr>
          <w:p w14:paraId="572FF031">
            <w:pPr>
              <w:pStyle w:val="30"/>
              <w:spacing w:before="169" w:line="291" w:lineRule="exact"/>
              <w:ind w:left="326"/>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661" w:type="dxa"/>
            <w:vAlign w:val="top"/>
          </w:tcPr>
          <w:p w14:paraId="13ACF6D5">
            <w:pPr>
              <w:pStyle w:val="30"/>
              <w:spacing w:before="169"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1BB8EE9B">
            <w:pPr>
              <w:pStyle w:val="30"/>
              <w:spacing w:before="169" w:line="294" w:lineRule="exact"/>
              <w:ind w:left="12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405" w:type="dxa"/>
            <w:vAlign w:val="top"/>
          </w:tcPr>
          <w:p w14:paraId="73EFE756">
            <w:pPr>
              <w:pStyle w:val="30"/>
              <w:spacing w:before="169" w:line="294" w:lineRule="exact"/>
              <w:ind w:left="122"/>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966" w:type="dxa"/>
            <w:vAlign w:val="top"/>
          </w:tcPr>
          <w:p w14:paraId="060C7024">
            <w:pPr>
              <w:rPr>
                <w:rFonts w:ascii="Arial"/>
                <w:color w:val="000000" w:themeColor="text1"/>
                <w:sz w:val="21"/>
                <w:u w:val="none" w:color="auto"/>
                <w14:textFill>
                  <w14:solidFill>
                    <w14:schemeClr w14:val="tx1"/>
                  </w14:solidFill>
                </w14:textFill>
              </w:rPr>
            </w:pPr>
          </w:p>
        </w:tc>
      </w:tr>
      <w:tr w14:paraId="44155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1" w:hRule="atLeast"/>
        </w:trPr>
        <w:tc>
          <w:tcPr>
            <w:tcW w:w="6976" w:type="dxa"/>
            <w:gridSpan w:val="9"/>
            <w:vAlign w:val="top"/>
          </w:tcPr>
          <w:p w14:paraId="609673CD">
            <w:pPr>
              <w:pStyle w:val="30"/>
              <w:spacing w:before="136" w:line="279" w:lineRule="exact"/>
              <w:ind w:left="3321"/>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rightMargin">
                        <wp:posOffset>-3970020</wp:posOffset>
                      </wp:positionH>
                      <wp:positionV relativeFrom="topMargin">
                        <wp:posOffset>-57785</wp:posOffset>
                      </wp:positionV>
                      <wp:extent cx="146685" cy="16637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46685" cy="166370"/>
                              </a:xfrm>
                              <a:prstGeom prst="rect">
                                <a:avLst/>
                              </a:prstGeom>
                              <a:noFill/>
                              <a:ln>
                                <a:noFill/>
                              </a:ln>
                            </wps:spPr>
                            <wps:txbx>
                              <w:txbxContent>
                                <w:p w14:paraId="4DEC32AF">
                                  <w:pPr>
                                    <w:pStyle w:val="30"/>
                                    <w:spacing w:before="20" w:line="193" w:lineRule="auto"/>
                                    <w:ind w:left="20"/>
                                  </w:pPr>
                                  <w:r>
                                    <w:t>标</w:t>
                                  </w:r>
                                </w:p>
                              </w:txbxContent>
                            </wps:txbx>
                            <wps:bodyPr lIns="0" tIns="0" rIns="0" bIns="0" upright="1"/>
                          </wps:wsp>
                        </a:graphicData>
                      </a:graphic>
                    </wp:anchor>
                  </w:drawing>
                </mc:Choice>
                <mc:Fallback>
                  <w:pict>
                    <v:shape id="_x0000_s1026" o:spid="_x0000_s1026" o:spt="202" type="#_x0000_t202" style="position:absolute;left:0pt;margin-left:35.85pt;margin-top:-3.8pt;height:13.1pt;width:11.55pt;mso-position-horizontal-relative:page;mso-position-vertical-relative:page;z-index:251659264;mso-width-relative:page;mso-height-relative:page;" filled="f" stroked="f" coordsize="21600,21600" o:gfxdata="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gFQoM2AAAAAsBAAAPAAAAAAAAAAEAIAAAACIAAABkcnMvZG93bnJldi54bWxQSwEC&#10;FAAUAAAACACHTuJARofzU7sBAABxAwAADgAAAAAAAAABACAAAAAnAQAAZHJzL2Uyb0RvYy54bWxQ&#10;SwUGAAAAAAYABgBZAQAAVAUAAAAA&#10;">
                      <v:fill on="f" focussize="0,0"/>
                      <v:stroke on="f"/>
                      <v:imagedata o:title=""/>
                      <o:lock v:ext="edit" aspectratio="f"/>
                      <v:textbox inset="0mm,0mm,0mm,0mm">
                        <w:txbxContent>
                          <w:p w14:paraId="4DEC32AF">
                            <w:pPr>
                              <w:pStyle w:val="30"/>
                              <w:spacing w:before="20" w:line="193" w:lineRule="auto"/>
                              <w:ind w:left="20"/>
                            </w:pPr>
                            <w:r>
                              <w:t>标</w:t>
                            </w:r>
                          </w:p>
                        </w:txbxContent>
                      </v:textbox>
                    </v:shape>
                  </w:pict>
                </mc:Fallback>
              </mc:AlternateContent>
            </w:r>
            <w:r>
              <w:rPr>
                <w:color w:val="000000" w:themeColor="text1"/>
                <w:spacing w:val="-5"/>
                <w:position w:val="2"/>
                <w:u w:val="none" w:color="auto"/>
                <w14:textFill>
                  <w14:solidFill>
                    <w14:schemeClr w14:val="tx1"/>
                  </w14:solidFill>
                </w14:textFill>
              </w:rPr>
              <w:t>总分</w:t>
            </w:r>
          </w:p>
        </w:tc>
        <w:tc>
          <w:tcPr>
            <w:tcW w:w="417" w:type="dxa"/>
            <w:vAlign w:val="top"/>
          </w:tcPr>
          <w:p w14:paraId="04D5C18D">
            <w:pPr>
              <w:pStyle w:val="30"/>
              <w:spacing w:before="136" w:line="294" w:lineRule="exact"/>
              <w:ind w:left="81"/>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100</w:t>
            </w:r>
          </w:p>
        </w:tc>
        <w:tc>
          <w:tcPr>
            <w:tcW w:w="405" w:type="dxa"/>
            <w:vAlign w:val="top"/>
          </w:tcPr>
          <w:p w14:paraId="372A8D6E">
            <w:pPr>
              <w:pStyle w:val="30"/>
              <w:spacing w:before="16" w:line="212" w:lineRule="auto"/>
              <w:ind w:left="74"/>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100</w:t>
            </w:r>
          </w:p>
          <w:p w14:paraId="4176B06E">
            <w:pPr>
              <w:pStyle w:val="30"/>
              <w:spacing w:line="193" w:lineRule="auto"/>
              <w:ind w:left="104"/>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.00</w:t>
            </w:r>
          </w:p>
        </w:tc>
        <w:tc>
          <w:tcPr>
            <w:tcW w:w="966" w:type="dxa"/>
            <w:vAlign w:val="top"/>
          </w:tcPr>
          <w:p w14:paraId="48E53031">
            <w:pPr>
              <w:rPr>
                <w:rFonts w:ascii="Arial"/>
                <w:color w:val="000000" w:themeColor="text1"/>
                <w:sz w:val="21"/>
                <w:u w:val="none" w:color="auto"/>
                <w14:textFill>
                  <w14:solidFill>
                    <w14:schemeClr w14:val="tx1"/>
                  </w14:solidFill>
                </w14:textFill>
              </w:rPr>
            </w:pPr>
          </w:p>
        </w:tc>
      </w:tr>
    </w:tbl>
    <w:p w14:paraId="6F0D5AFB">
      <w:pPr>
        <w:spacing w:before="285" w:line="238" w:lineRule="auto"/>
        <w:ind w:left="4051"/>
        <w:rPr>
          <w:rFonts w:ascii="FZSJ-FANGSGBTTOT" w:hAnsi="FZSJ-FANGSGBTTOT" w:eastAsia="FZSJ-FANGSGBTTOT" w:cs="FZSJ-FANGSGBTTOT"/>
          <w:color w:val="000000" w:themeColor="text1"/>
          <w:sz w:val="19"/>
          <w:szCs w:val="19"/>
          <w:u w:val="none" w:color="auto"/>
          <w14:textFill>
            <w14:solidFill>
              <w14:schemeClr w14:val="tx1"/>
            </w14:solidFill>
          </w14:textFill>
        </w:rPr>
      </w:pPr>
      <w:r>
        <w:rPr>
          <w:rFonts w:ascii="FZSJ-FANGSGBTTOT" w:hAnsi="FZSJ-FANGSGBTTOT" w:eastAsia="FZSJ-FANGSGBTTOT" w:cs="FZSJ-FANGSGBTTOT"/>
          <w:color w:val="000000" w:themeColor="text1"/>
          <w:spacing w:val="8"/>
          <w:sz w:val="19"/>
          <w:szCs w:val="19"/>
          <w:u w:val="none" w:color="auto"/>
          <w14:textFill>
            <w14:solidFill>
              <w14:schemeClr w14:val="tx1"/>
            </w14:solidFill>
          </w14:textFill>
        </w:rPr>
        <w:t>主管部门:巴彦淖尔市住房和城乡建设局（部门）</w:t>
      </w:r>
    </w:p>
    <w:p w14:paraId="086E1BD5">
      <w:pPr>
        <w:spacing w:line="242" w:lineRule="auto"/>
        <w:ind w:left="5562"/>
        <w:rPr>
          <w:rFonts w:ascii="仿宋" w:hAnsi="仿宋" w:eastAsia="仿宋" w:cs="仿宋"/>
          <w:color w:val="000000" w:themeColor="text1"/>
          <w:kern w:val="0"/>
          <w:sz w:val="32"/>
          <w:szCs w:val="32"/>
          <w:u w:val="none" w:color="auto"/>
          <w14:textFill>
            <w14:solidFill>
              <w14:schemeClr w14:val="tx1"/>
            </w14:solidFill>
          </w14:textFill>
        </w:rPr>
      </w:pPr>
      <w:r>
        <w:rPr>
          <w:rFonts w:ascii="FZSJ-FANGSGBTTOT" w:hAnsi="FZSJ-FANGSGBTTOT" w:eastAsia="FZSJ-FANGSGBTTOT" w:cs="FZSJ-FANGSGBTTOT"/>
          <w:color w:val="000000" w:themeColor="text1"/>
          <w:spacing w:val="-3"/>
          <w:sz w:val="19"/>
          <w:szCs w:val="19"/>
          <w:u w:val="none" w:color="auto"/>
          <w14:textFill>
            <w14:solidFill>
              <w14:schemeClr w14:val="tx1"/>
            </w14:solidFill>
          </w14:textFill>
        </w:rPr>
        <w:t>年</w:t>
      </w:r>
      <w:r>
        <w:rPr>
          <w:rFonts w:ascii="FZSJ-FANGSGBTTOT" w:hAnsi="FZSJ-FANGSGBTTOT" w:eastAsia="FZSJ-FANGSGBTTOT" w:cs="FZSJ-FANGSGBTTOT"/>
          <w:color w:val="000000" w:themeColor="text1"/>
          <w:spacing w:val="9"/>
          <w:sz w:val="19"/>
          <w:szCs w:val="19"/>
          <w:u w:val="none" w:color="auto"/>
          <w14:textFill>
            <w14:solidFill>
              <w14:schemeClr w14:val="tx1"/>
            </w14:solidFill>
          </w14:textFill>
        </w:rPr>
        <w:t xml:space="preserve">    </w:t>
      </w:r>
      <w:r>
        <w:rPr>
          <w:rFonts w:ascii="FZSJ-FANGSGBTTOT" w:hAnsi="FZSJ-FANGSGBTTOT" w:eastAsia="FZSJ-FANGSGBTTOT" w:cs="FZSJ-FANGSGBTTOT"/>
          <w:color w:val="000000" w:themeColor="text1"/>
          <w:spacing w:val="-3"/>
          <w:sz w:val="19"/>
          <w:szCs w:val="19"/>
          <w:u w:val="none" w:color="auto"/>
          <w14:textFill>
            <w14:solidFill>
              <w14:schemeClr w14:val="tx1"/>
            </w14:solidFill>
          </w14:textFill>
        </w:rPr>
        <w:t>月     日</w:t>
      </w:r>
    </w:p>
    <w:p w14:paraId="161C477E">
      <w:pPr>
        <w:pStyle w:val="29"/>
        <w:widowControl/>
        <w:spacing w:before="240" w:after="240"/>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楷体" w:hAnsi="楷体" w:eastAsia="楷体" w:cs="楷体"/>
          <w:b/>
          <w:bCs/>
          <w:color w:val="000000" w:themeColor="text1"/>
          <w:kern w:val="0"/>
          <w:sz w:val="32"/>
          <w:szCs w:val="32"/>
          <w:u w:val="none" w:color="auto"/>
          <w14:textFill>
            <w14:solidFill>
              <w14:schemeClr w14:val="tx1"/>
            </w14:solidFill>
          </w14:textFill>
        </w:rPr>
        <w:t>（三）部门项目绩效评价结果。</w:t>
      </w:r>
    </w:p>
    <w:p w14:paraId="1FEBC330">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以</w:t>
      </w:r>
      <w:r>
        <w:rPr>
          <w:rFonts w:hint="eastAsia" w:eastAsia="SimSun"/>
          <w:color w:val="000000" w:themeColor="text1"/>
          <w:kern w:val="0"/>
          <w:sz w:val="32"/>
          <w:szCs w:val="32"/>
          <w:u w:val="none" w:color="auto"/>
          <w:lang w:eastAsia="zh-CN"/>
          <w14:textFill>
            <w14:solidFill>
              <w14:schemeClr w14:val="tx1"/>
            </w14:solidFill>
          </w14:textFill>
        </w:rPr>
        <w:t>双河区规划支路市政道路及管网配套工程</w:t>
      </w:r>
      <w:r>
        <w:rPr>
          <w:rFonts w:ascii="仿宋" w:hAnsi="仿宋" w:eastAsia="仿宋" w:cs="仿宋"/>
          <w:color w:val="000000" w:themeColor="text1"/>
          <w:kern w:val="0"/>
          <w:sz w:val="32"/>
          <w:szCs w:val="32"/>
          <w:u w:val="none" w:color="auto"/>
          <w14:textFill>
            <w14:solidFill>
              <w14:schemeClr w14:val="tx1"/>
            </w14:solidFill>
          </w14:textFill>
        </w:rPr>
        <w:t>项目为例，该项目绩效评价综合得分为</w:t>
      </w:r>
      <w:r>
        <w:rPr>
          <w:rFonts w:hint="eastAsia" w:eastAsia="SimSun"/>
          <w:color w:val="000000" w:themeColor="text1"/>
          <w:kern w:val="0"/>
          <w:sz w:val="32"/>
          <w:szCs w:val="32"/>
          <w:u w:val="none" w:color="auto"/>
          <w:lang w:val="en-US" w:eastAsia="zh-CN"/>
          <w14:textFill>
            <w14:solidFill>
              <w14:schemeClr w14:val="tx1"/>
            </w14:solidFill>
          </w14:textFill>
        </w:rPr>
        <w:t>100</w:t>
      </w:r>
      <w:r>
        <w:rPr>
          <w:rFonts w:ascii="仿宋" w:hAnsi="仿宋" w:eastAsia="仿宋" w:cs="仿宋"/>
          <w:color w:val="000000" w:themeColor="text1"/>
          <w:kern w:val="0"/>
          <w:sz w:val="32"/>
          <w:szCs w:val="32"/>
          <w:u w:val="none" w:color="auto"/>
          <w14:textFill>
            <w14:solidFill>
              <w14:schemeClr w14:val="tx1"/>
            </w14:solidFill>
          </w14:textFill>
        </w:rPr>
        <w:t>分，绩效评价结果为“优”。部门项目绩效评价得分情况详见单位具体绩效评价</w:t>
      </w:r>
    </w:p>
    <w:p w14:paraId="4CD849C4">
      <w:pPr>
        <w:pStyle w:val="29"/>
        <w:widowControl/>
        <w:numPr>
          <w:ilvl w:val="0"/>
          <w:numId w:val="1"/>
        </w:numPr>
        <w:spacing w:before="240" w:after="240"/>
        <w:ind w:firstLine="643"/>
        <w:jc w:val="left"/>
        <w:rPr>
          <w:rFonts w:hint="eastAsia" w:ascii="仿宋_GB2312" w:hAnsi="仿宋_GB2312" w:eastAsia="仿宋_GB2312" w:cs="仿宋_GB2312"/>
          <w:b/>
          <w:bCs/>
          <w:color w:val="000000" w:themeColor="text1"/>
          <w:kern w:val="0"/>
          <w:sz w:val="32"/>
          <w:szCs w:val="32"/>
          <w:u w:val="none" w:color="auto"/>
          <w14:textFill>
            <w14:solidFill>
              <w14:schemeClr w14:val="tx1"/>
            </w14:solidFill>
          </w14:textFill>
        </w:rPr>
      </w:pPr>
      <w:r>
        <w:rPr>
          <w:rFonts w:hint="eastAsia" w:ascii="仿宋_GB2312" w:hAnsi="仿宋_GB2312" w:eastAsia="仿宋_GB2312" w:cs="仿宋_GB2312"/>
          <w:b/>
          <w:bCs/>
          <w:color w:val="000000" w:themeColor="text1"/>
          <w:kern w:val="0"/>
          <w:sz w:val="32"/>
          <w:szCs w:val="32"/>
          <w:u w:val="none" w:color="auto"/>
          <w14:textFill>
            <w14:solidFill>
              <w14:schemeClr w14:val="tx1"/>
            </w14:solidFill>
          </w14:textFill>
        </w:rPr>
        <w:t>单位预算绩效管理制度和核心绩效指标标准体系建设情况。</w:t>
      </w:r>
    </w:p>
    <w:p w14:paraId="1465518E">
      <w:pPr>
        <w:pStyle w:val="3"/>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预算绩效管理制度体系建设情况</w:t>
      </w:r>
    </w:p>
    <w:p w14:paraId="1E96A2AE">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坚持制度先行，构建“1+N”闭环管理制度体系，覆盖预算编制、执行、监控、评价、结果应用全流程，实现绩效管理依规开展、闭环运行。</w:t>
      </w:r>
    </w:p>
    <w:p w14:paraId="1E7A9B49">
      <w:pPr>
        <w:pStyle w:val="4"/>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（一）夯实顶层制度框架</w:t>
      </w:r>
    </w:p>
    <w:p w14:paraId="060C5EFB">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对标上级改革部署，结合单位实际，制定预算绩效管理总体方案和管理制度，明确工作目标、实施范围、重点任务及责任分工，确立绩效导向的预算管理工作格局，扭转“重分配、轻绩效”的传统管理模式。</w:t>
      </w:r>
    </w:p>
    <w:p w14:paraId="08DC5718">
      <w:pPr>
        <w:pStyle w:val="4"/>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（二）完善全链条配套机制</w:t>
      </w:r>
    </w:p>
    <w:p w14:paraId="575F98DC">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健全事前绩效评估、绩效目标管理、运行监控、绩效评价、结果应用问责等配套制度。严格新增项目绩效评估，严把预算入口；统一绩效目标编制审核标准，实现无目标不预算；建立常态化动态监控机制，及时纠偏整改；规范各类绩效评价流程标准，建立评价结果与预算安排、考核问责挂钩机制，强化制度刚性约束。</w:t>
      </w:r>
    </w:p>
    <w:p w14:paraId="30FDAEF0">
      <w:pPr>
        <w:pStyle w:val="4"/>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（三）狠抓制度落地执行</w:t>
      </w:r>
    </w:p>
    <w:p w14:paraId="4A727316">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明确各科室、下属单位绩效管理职责，压实主体责任。常态化开展业务培训，提升全员实操能力。将预算绩效管理纳入年度考核，定期开展制度执行督查，常态化整改问题，推动绩效管理规范化、常态化落地。</w:t>
      </w:r>
    </w:p>
    <w:p w14:paraId="19E6A99A">
      <w:pPr>
        <w:pStyle w:val="3"/>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核心绩效指标标准体系建设情况</w:t>
      </w:r>
    </w:p>
    <w:p w14:paraId="6F060EE1">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按照科学规范、分类分级、动态更新原则，搭建标准化、可量化、可考核的核心绩效指标体系，统一绩效评价标准标尺，支撑绩效管理全流程开展。</w:t>
      </w:r>
    </w:p>
    <w:p w14:paraId="11C7E250">
      <w:pPr>
        <w:pStyle w:val="4"/>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（一）搭建分层分类指标体系</w:t>
      </w:r>
    </w:p>
    <w:p w14:paraId="0C82096F">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建立“共性+个性、一级核心+二级细分”立体化指标体系。统一设置产出、效益、满意度三类通用核心指标，明确统计口径和评价规则；结合民生保障、项目建设、专项补助等重点领域，细化行业特色指标，解决指标同质化、针对性不强等问题。</w:t>
      </w:r>
    </w:p>
    <w:p w14:paraId="470C5DF2">
      <w:pPr>
        <w:pStyle w:val="4"/>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（二）统一指标规范标准</w:t>
      </w:r>
    </w:p>
    <w:p w14:paraId="2882160C">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严格落实“可量化、可考核、可对比、可追溯”要求，明确各类指标定义、口径、数据来源、评分标准及权重，细化指标达标层级，编制绩效指标参考手册，杜绝空泛虚化指标，提升评价精准度。</w:t>
      </w:r>
    </w:p>
    <w:p w14:paraId="6A5F55CF">
      <w:pPr>
        <w:pStyle w:val="4"/>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（三）实行动态迭代更新</w:t>
      </w:r>
    </w:p>
    <w:p w14:paraId="33504BC6">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依托预算管理一体化系统，建立指标库动态更新机制，结合政策调整、项目实施和评价反馈，定期增补优化、淘汰过时指标，持续扩充标准化指标储备，保障指标体系科学适配、贴合实际。</w:t>
      </w:r>
    </w:p>
    <w:p w14:paraId="3BCC31B8">
      <w:pPr>
        <w:pStyle w:val="4"/>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（四）深化指标体系落地应用</w:t>
      </w:r>
    </w:p>
    <w:p w14:paraId="3542374F">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将标准化指标体系嵌入预算管理全流程。编制预算时智能匹配绩效目标，执行中依托指标动态监控，评价时以标准化指标为核心量化打分，结果用于预算调整和政策优化，实现以标准管绩效、以绩效管资金。</w:t>
      </w:r>
    </w:p>
    <w:p w14:paraId="199E5BCC">
      <w:pPr>
        <w:pStyle w:val="3"/>
        <w:keepNext w:val="0"/>
        <w:keepLines w:val="0"/>
        <w:widowControl/>
        <w:spacing w:before="0" w:after="0" w:line="360" w:lineRule="auto"/>
        <w:ind w:left="0" w:right="0"/>
        <w:jc w:val="center"/>
        <w:rPr>
          <w:rFonts w:ascii="Times New Roman" w:hAnsi="Times New Roman" w:eastAsia="Times New Roman" w:cs="Times New Roman"/>
          <w:b/>
          <w:bCs/>
          <w:color w:val="000000" w:themeColor="text1"/>
          <w:kern w:val="0"/>
          <w:sz w:val="36"/>
          <w:szCs w:val="36"/>
          <w:u w:val="none" w:color="auto"/>
          <w14:textFill>
            <w14:solidFill>
              <w14:schemeClr w14:val="tx1"/>
            </w14:solidFill>
          </w14:textFill>
        </w:rPr>
      </w:pPr>
      <w:r>
        <w:rPr>
          <w:rFonts w:ascii="方正小标宋简体" w:hAnsi="方正小标宋简体" w:eastAsia="方正小标宋简体" w:cs="方正小标宋简体"/>
          <w:color w:val="000000" w:themeColor="text1"/>
          <w:kern w:val="0"/>
          <w:sz w:val="36"/>
          <w:szCs w:val="36"/>
          <w:u w:val="none" w:color="auto"/>
          <w14:textFill>
            <w14:solidFill>
              <w14:schemeClr w14:val="tx1"/>
            </w14:solidFill>
          </w14:textFill>
        </w:rPr>
        <w:t>第三部分</w:t>
      </w:r>
      <w:r>
        <w:rPr>
          <w:rFonts w:ascii="Times New Roman" w:hAnsi="Times New Roman" w:eastAsia="Times New Roman" w:cs="Times New Roman"/>
          <w:color w:val="000000" w:themeColor="text1"/>
          <w:kern w:val="0"/>
          <w:sz w:val="36"/>
          <w:szCs w:val="36"/>
          <w:u w:val="none" w:color="auto"/>
          <w14:textFill>
            <w14:solidFill>
              <w14:schemeClr w14:val="tx1"/>
            </w14:solidFill>
          </w14:textFill>
        </w:rPr>
        <w:t> </w:t>
      </w:r>
      <w:r>
        <w:rPr>
          <w:rFonts w:ascii="方正小标宋简体" w:hAnsi="方正小标宋简体" w:eastAsia="方正小标宋简体" w:cs="方正小标宋简体"/>
          <w:b w:val="0"/>
          <w:bCs w:val="0"/>
          <w:color w:val="000000" w:themeColor="text1"/>
          <w:kern w:val="0"/>
          <w:sz w:val="36"/>
          <w:szCs w:val="36"/>
          <w:u w:val="none" w:color="auto"/>
          <w14:textFill>
            <w14:solidFill>
              <w14:schemeClr w14:val="tx1"/>
            </w14:solidFill>
          </w14:textFill>
        </w:rPr>
        <w:t xml:space="preserve"> </w:t>
      </w:r>
      <w:r>
        <w:rPr>
          <w:rFonts w:ascii="方正小标宋简体" w:hAnsi="方正小标宋简体" w:eastAsia="方正小标宋简体" w:cs="方正小标宋简体"/>
          <w:color w:val="000000" w:themeColor="text1"/>
          <w:kern w:val="0"/>
          <w:sz w:val="36"/>
          <w:szCs w:val="36"/>
          <w:u w:val="none" w:color="auto"/>
          <w14:textFill>
            <w14:solidFill>
              <w14:schemeClr w14:val="tx1"/>
            </w14:solidFill>
          </w14:textFill>
        </w:rPr>
        <w:t>名词解释</w:t>
      </w:r>
    </w:p>
    <w:p w14:paraId="05B5E044">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一、财政拨款收入：</w:t>
      </w:r>
      <w:r>
        <w:rPr>
          <w:rFonts w:ascii="仿宋" w:hAnsi="仿宋" w:eastAsia="仿宋" w:cs="仿宋"/>
          <w:color w:val="000000" w:themeColor="text1"/>
          <w:kern w:val="0"/>
          <w:sz w:val="32"/>
          <w:szCs w:val="32"/>
          <w:u w:val="none" w:color="auto"/>
          <w14:textFill>
            <w14:solidFill>
              <w14:schemeClr w14:val="tx1"/>
            </w14:solidFill>
          </w14:textFill>
        </w:rPr>
        <w:t>从同级财政部门取得的各类财政拨款，包括一般公共预算财政拨款、政府性基金预算财政拨款、国有资本经营预算财政拨款。</w:t>
      </w:r>
    </w:p>
    <w:p w14:paraId="4EABB5FC">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二、上级补助收入：</w:t>
      </w:r>
      <w:r>
        <w:rPr>
          <w:rFonts w:ascii="仿宋" w:hAnsi="仿宋" w:eastAsia="仿宋" w:cs="仿宋"/>
          <w:color w:val="000000" w:themeColor="text1"/>
          <w:kern w:val="0"/>
          <w:sz w:val="32"/>
          <w:szCs w:val="32"/>
          <w:u w:val="none" w:color="auto"/>
          <w14:textFill>
            <w14:solidFill>
              <w14:schemeClr w14:val="tx1"/>
            </w14:solidFill>
          </w14:textFill>
        </w:rPr>
        <w:t>指事业单位从主管部门和上级单位取得的非财政补助收入。</w:t>
      </w:r>
    </w:p>
    <w:p w14:paraId="5D7D2986">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三、事业收入：</w:t>
      </w:r>
      <w:r>
        <w:rPr>
          <w:rFonts w:ascii="仿宋" w:hAnsi="仿宋" w:eastAsia="仿宋" w:cs="仿宋"/>
          <w:color w:val="000000" w:themeColor="text1"/>
          <w:kern w:val="0"/>
          <w:sz w:val="32"/>
          <w:szCs w:val="32"/>
          <w:u w:val="none" w:color="auto"/>
          <w14:textFill>
            <w14:solidFill>
              <w14:schemeClr w14:val="tx1"/>
            </w14:solidFill>
          </w14:textFill>
        </w:rPr>
        <w:t>指事业单位开展专业业务活动及其辅助活动取得的收入。</w:t>
      </w:r>
    </w:p>
    <w:p w14:paraId="705BC038">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四、经营收入：</w:t>
      </w:r>
      <w:r>
        <w:rPr>
          <w:rFonts w:ascii="仿宋" w:hAnsi="仿宋" w:eastAsia="仿宋" w:cs="仿宋"/>
          <w:color w:val="000000" w:themeColor="text1"/>
          <w:kern w:val="0"/>
          <w:sz w:val="32"/>
          <w:szCs w:val="32"/>
          <w:u w:val="none" w:color="auto"/>
          <w14:textFill>
            <w14:solidFill>
              <w14:schemeClr w14:val="tx1"/>
            </w14:solidFill>
          </w14:textFill>
        </w:rPr>
        <w:t>指事业单位在专业业务活动及其辅助活动之外开展非独立核算经营活动取得的收入。</w:t>
      </w:r>
    </w:p>
    <w:p w14:paraId="3FCCA902">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五、附属单位上缴收入：</w:t>
      </w:r>
      <w:r>
        <w:rPr>
          <w:rFonts w:ascii="仿宋" w:hAnsi="仿宋" w:eastAsia="仿宋" w:cs="仿宋"/>
          <w:color w:val="000000" w:themeColor="text1"/>
          <w:kern w:val="0"/>
          <w:sz w:val="32"/>
          <w:szCs w:val="32"/>
          <w:u w:val="none" w:color="auto"/>
          <w14:textFill>
            <w14:solidFill>
              <w14:schemeClr w14:val="tx1"/>
            </w14:solidFill>
          </w14:textFill>
        </w:rPr>
        <w:t>指事业单位取得附属独立核算单位按照有关规定上缴的收入。</w:t>
      </w:r>
    </w:p>
    <w:p w14:paraId="24DF2AD9">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六、其他收入：</w:t>
      </w:r>
      <w:r>
        <w:rPr>
          <w:rFonts w:ascii="仿宋" w:hAnsi="仿宋" w:eastAsia="仿宋" w:cs="仿宋"/>
          <w:color w:val="000000" w:themeColor="text1"/>
          <w:kern w:val="0"/>
          <w:sz w:val="32"/>
          <w:szCs w:val="32"/>
          <w:u w:val="none" w:color="auto"/>
          <w14:textFill>
            <w14:solidFill>
              <w14:schemeClr w14:val="tx1"/>
            </w14:solidFill>
          </w14:textFill>
        </w:rPr>
        <w:t>取得的除上述财政拨款收入、上级补助收入、事业收入、经营收入、附属单位上缴收入等以外的各项收入。</w:t>
      </w:r>
    </w:p>
    <w:p w14:paraId="50B73398">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七、使用非财政拨款结余（含专用结余）：</w:t>
      </w:r>
      <w:r>
        <w:rPr>
          <w:rFonts w:ascii="仿宋" w:hAnsi="仿宋" w:eastAsia="仿宋" w:cs="仿宋"/>
          <w:color w:val="000000" w:themeColor="text1"/>
          <w:kern w:val="0"/>
          <w:sz w:val="32"/>
          <w:szCs w:val="32"/>
          <w:u w:val="none" w:color="auto"/>
          <w14:textFill>
            <w14:solidFill>
              <w14:schemeClr w14:val="tx1"/>
            </w14:solidFill>
          </w14:textFill>
        </w:rPr>
        <w:t>指事业单位按照预算管理要求使用非财政拨款结余弥补收支差额的金额，以及使用专用结余安排支出的金额。</w:t>
      </w:r>
    </w:p>
    <w:p w14:paraId="3247907E">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八、年初结转和结余：</w:t>
      </w:r>
      <w:r>
        <w:rPr>
          <w:rFonts w:ascii="仿宋" w:hAnsi="仿宋" w:eastAsia="仿宋" w:cs="仿宋"/>
          <w:color w:val="000000" w:themeColor="text1"/>
          <w:kern w:val="0"/>
          <w:sz w:val="32"/>
          <w:szCs w:val="32"/>
          <w:u w:val="none" w:color="auto"/>
          <w14:textFill>
            <w14:solidFill>
              <w14:schemeClr w14:val="tx1"/>
            </w14:solidFill>
          </w14:textFill>
        </w:rPr>
        <w:t>指单位上年结转本年使用的基本支出结转、项目支出结转和结余、经营结余。</w:t>
      </w:r>
    </w:p>
    <w:p w14:paraId="403359E1">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九、结余分配：</w:t>
      </w:r>
      <w:r>
        <w:rPr>
          <w:rFonts w:ascii="仿宋" w:hAnsi="仿宋" w:eastAsia="仿宋" w:cs="仿宋"/>
          <w:color w:val="000000" w:themeColor="text1"/>
          <w:kern w:val="0"/>
          <w:sz w:val="32"/>
          <w:szCs w:val="32"/>
          <w:u w:val="none" w:color="auto"/>
          <w14:textFill>
            <w14:solidFill>
              <w14:schemeClr w14:val="tx1"/>
            </w14:solidFill>
          </w14:textFill>
        </w:rPr>
        <w:t>指单位按规定缴纳企业所得税以及从非财政拨款结余或经营结余中提取各类结余的情况。</w:t>
      </w:r>
    </w:p>
    <w:p w14:paraId="3FE1059F">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十、年末结转和结余资金：</w:t>
      </w:r>
      <w:r>
        <w:rPr>
          <w:rFonts w:ascii="仿宋" w:hAnsi="仿宋" w:eastAsia="仿宋" w:cs="仿宋"/>
          <w:color w:val="000000" w:themeColor="text1"/>
          <w:kern w:val="0"/>
          <w:sz w:val="32"/>
          <w:szCs w:val="32"/>
          <w:u w:val="none" w:color="auto"/>
          <w14:textFill>
            <w14:solidFill>
              <w14:schemeClr w14:val="tx1"/>
            </w14:solidFill>
          </w14:textFill>
        </w:rPr>
        <w:t>指单位结转下年的基本支出结转、项目支出结转和结余、经营结余。</w:t>
      </w:r>
    </w:p>
    <w:p w14:paraId="27174C4E">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十一、基本支出：</w:t>
      </w:r>
      <w:r>
        <w:rPr>
          <w:rFonts w:ascii="仿宋" w:hAnsi="仿宋" w:eastAsia="仿宋" w:cs="仿宋"/>
          <w:color w:val="000000" w:themeColor="text1"/>
          <w:kern w:val="0"/>
          <w:sz w:val="32"/>
          <w:szCs w:val="32"/>
          <w:u w:val="none" w:color="auto"/>
          <w14:textFill>
            <w14:solidFill>
              <w14:schemeClr w14:val="tx1"/>
            </w14:solidFill>
          </w14:textFill>
        </w:rPr>
        <w:t>指为保障机构正常运转、完成日常工作任务所发生的支出，包括人员经费和公用经费。</w:t>
      </w:r>
    </w:p>
    <w:p w14:paraId="205D9ACA">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十二、项目支出：</w:t>
      </w:r>
      <w:r>
        <w:rPr>
          <w:rFonts w:ascii="仿宋" w:hAnsi="仿宋" w:eastAsia="仿宋" w:cs="仿宋"/>
          <w:color w:val="000000" w:themeColor="text1"/>
          <w:kern w:val="0"/>
          <w:sz w:val="32"/>
          <w:szCs w:val="32"/>
          <w:u w:val="none" w:color="auto"/>
          <w14:textFill>
            <w14:solidFill>
              <w14:schemeClr w14:val="tx1"/>
            </w14:solidFill>
          </w14:textFill>
        </w:rPr>
        <w:t>指单位为完成特定的行政工作任务或事业发展目标，在基本支出之外发生的各项支出。</w:t>
      </w:r>
    </w:p>
    <w:p w14:paraId="2AE816F3">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十三、上缴上级支出：</w:t>
      </w:r>
      <w:r>
        <w:rPr>
          <w:rFonts w:ascii="仿宋" w:hAnsi="仿宋" w:eastAsia="仿宋" w:cs="仿宋"/>
          <w:color w:val="000000" w:themeColor="text1"/>
          <w:kern w:val="0"/>
          <w:sz w:val="32"/>
          <w:szCs w:val="32"/>
          <w:u w:val="none" w:color="auto"/>
          <w14:textFill>
            <w14:solidFill>
              <w14:schemeClr w14:val="tx1"/>
            </w14:solidFill>
          </w14:textFill>
        </w:rPr>
        <w:t>指事业单位按照财政部门和主管部门的规定上缴上级单位的支出。</w:t>
      </w:r>
    </w:p>
    <w:p w14:paraId="4FDD33E7">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十四、经营支出：</w:t>
      </w:r>
      <w:r>
        <w:rPr>
          <w:rFonts w:ascii="仿宋" w:hAnsi="仿宋" w:eastAsia="仿宋" w:cs="仿宋"/>
          <w:color w:val="000000" w:themeColor="text1"/>
          <w:kern w:val="0"/>
          <w:sz w:val="32"/>
          <w:szCs w:val="32"/>
          <w:u w:val="none" w:color="auto"/>
          <w14:textFill>
            <w14:solidFill>
              <w14:schemeClr w14:val="tx1"/>
            </w14:solidFill>
          </w14:textFill>
        </w:rPr>
        <w:t>指事业单位在专业业务活动及其辅助活动之外开展非独立核算经营活动发生的支出。</w:t>
      </w:r>
    </w:p>
    <w:p w14:paraId="4B967E84">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十五、对附属单位补助支出：</w:t>
      </w:r>
      <w:r>
        <w:rPr>
          <w:rFonts w:ascii="仿宋" w:hAnsi="仿宋" w:eastAsia="仿宋" w:cs="仿宋"/>
          <w:color w:val="000000" w:themeColor="text1"/>
          <w:kern w:val="0"/>
          <w:sz w:val="32"/>
          <w:szCs w:val="32"/>
          <w:u w:val="none" w:color="auto"/>
          <w14:textFill>
            <w14:solidFill>
              <w14:schemeClr w14:val="tx1"/>
            </w14:solidFill>
          </w14:textFill>
        </w:rPr>
        <w:t>指事业单位用财政拨款收入之外的收入对附属单位补助发生的支出。</w:t>
      </w:r>
    </w:p>
    <w:p w14:paraId="5E476498">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十六、“三公”经费：</w:t>
      </w:r>
      <w:r>
        <w:rPr>
          <w:rFonts w:ascii="仿宋" w:hAnsi="仿宋" w:eastAsia="仿宋" w:cs="仿宋"/>
          <w:color w:val="000000" w:themeColor="text1"/>
          <w:kern w:val="0"/>
          <w:sz w:val="32"/>
          <w:szCs w:val="32"/>
          <w:u w:val="none" w:color="auto"/>
          <w14:textFill>
            <w14:solidFill>
              <w14:schemeClr w14:val="tx1"/>
            </w14:solidFill>
          </w14:textFill>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新能源汽车充电费、维修费、过路过桥费、保险费、安全奖励费用等支出；公务接待费反映部门（单位）按规定开支的各类公务接待（含外宾接待）费用。</w:t>
      </w:r>
    </w:p>
    <w:p w14:paraId="36BF99AE">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十七、机关运行经费：</w:t>
      </w:r>
      <w:r>
        <w:rPr>
          <w:rFonts w:ascii="仿宋" w:hAnsi="仿宋" w:eastAsia="仿宋" w:cs="仿宋"/>
          <w:color w:val="000000" w:themeColor="text1"/>
          <w:kern w:val="0"/>
          <w:sz w:val="32"/>
          <w:szCs w:val="32"/>
          <w:u w:val="none" w:color="auto"/>
          <w14:textFill>
            <w14:solidFill>
              <w14:schemeClr w14:val="tx1"/>
            </w14:solidFill>
          </w14:textFill>
        </w:rPr>
        <w:t>指行政单位和参照公务员法管理的事业单位财政拨款基本支出中的公用经费支出。</w:t>
      </w:r>
    </w:p>
    <w:p w14:paraId="78AA9BCF">
      <w:pPr>
        <w:widowControl/>
        <w:spacing w:before="240" w:after="2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p>
    <w:p w14:paraId="2E82CDF6">
      <w:pPr>
        <w:pStyle w:val="3"/>
        <w:keepNext w:val="0"/>
        <w:keepLines w:val="0"/>
        <w:widowControl/>
        <w:spacing w:before="299" w:after="299" w:line="240" w:lineRule="auto"/>
        <w:jc w:val="center"/>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fang_zheng_xiao_biao_song_ti" w:hAnsi="fang_zheng_xiao_biao_song_ti" w:eastAsia="fang_zheng_xiao_biao_song_ti" w:cs="fang_zheng_xiao_biao_song_ti"/>
          <w:color w:val="000000" w:themeColor="text1"/>
          <w:kern w:val="0"/>
          <w:sz w:val="36"/>
          <w:szCs w:val="36"/>
          <w:u w:val="none" w:color="auto"/>
          <w14:textFill>
            <w14:solidFill>
              <w14:schemeClr w14:val="tx1"/>
            </w14:solidFill>
          </w14:textFill>
        </w:rPr>
        <w:t>第四部分</w:t>
      </w:r>
      <w:r>
        <w:rPr>
          <w:rFonts w:ascii="Times New Roman" w:hAnsi="Times New Roman" w:eastAsia="Times New Roman" w:cs="Times New Roman"/>
          <w:color w:val="000000" w:themeColor="text1"/>
          <w:kern w:val="0"/>
          <w:sz w:val="36"/>
          <w:szCs w:val="36"/>
          <w:u w:val="none" w:color="auto"/>
          <w14:textFill>
            <w14:solidFill>
              <w14:schemeClr w14:val="tx1"/>
            </w14:solidFill>
          </w14:textFill>
        </w:rPr>
        <w:t> </w:t>
      </w:r>
      <w:r>
        <w:rPr>
          <w:rFonts w:ascii="fang_zheng_xiao_biao_song_ti" w:hAnsi="fang_zheng_xiao_biao_song_ti" w:eastAsia="fang_zheng_xiao_biao_song_ti" w:cs="fang_zheng_xiao_biao_song_ti"/>
          <w:b w:val="0"/>
          <w:bCs w:val="0"/>
          <w:color w:val="000000" w:themeColor="text1"/>
          <w:kern w:val="0"/>
          <w:sz w:val="36"/>
          <w:szCs w:val="36"/>
          <w:u w:val="none" w:color="auto"/>
          <w14:textFill>
            <w14:solidFill>
              <w14:schemeClr w14:val="tx1"/>
            </w14:solidFill>
          </w14:textFill>
        </w:rPr>
        <w:t xml:space="preserve"> </w:t>
      </w:r>
      <w:r>
        <w:rPr>
          <w:rFonts w:ascii="fang_zheng_xiao_biao_song_ti" w:hAnsi="fang_zheng_xiao_biao_song_ti" w:eastAsia="fang_zheng_xiao_biao_song_ti" w:cs="fang_zheng_xiao_biao_song_ti"/>
          <w:color w:val="000000" w:themeColor="text1"/>
          <w:kern w:val="0"/>
          <w:sz w:val="36"/>
          <w:szCs w:val="36"/>
          <w:u w:val="none" w:color="auto"/>
          <w14:textFill>
            <w14:solidFill>
              <w14:schemeClr w14:val="tx1"/>
            </w14:solidFill>
          </w14:textFill>
        </w:rPr>
        <w:t>决算公开联系方式及信息反馈渠道</w:t>
      </w:r>
    </w:p>
    <w:p w14:paraId="0D41A4DD">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本部门（单位）决算公开信息反馈和联系方式：</w:t>
      </w:r>
    </w:p>
    <w:p w14:paraId="027F4E63">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联系人：</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常競文</w:t>
      </w:r>
      <w:r>
        <w:rPr>
          <w:rFonts w:ascii="Times New Roman" w:hAnsi="Times New Roman" w:eastAsia="Times New Roman" w:cs="Times New Roman"/>
          <w:color w:val="000000" w:themeColor="text1"/>
          <w:kern w:val="0"/>
          <w:sz w:val="32"/>
          <w:szCs w:val="32"/>
          <w:u w:val="none" w:color="auto"/>
          <w:lang w:eastAsia="en-US"/>
          <w14:textFill>
            <w14:solidFill>
              <w14:schemeClr w14:val="tx1"/>
            </w14:solidFill>
          </w14:textFill>
        </w:rPr>
        <w:t xml:space="preserve">              </w:t>
      </w:r>
      <w:r>
        <w:rPr>
          <w:rFonts w:ascii="仿宋" w:hAnsi="仿宋" w:eastAsia="仿宋" w:cs="仿宋"/>
          <w:color w:val="000000" w:themeColor="text1"/>
          <w:kern w:val="0"/>
          <w:sz w:val="32"/>
          <w:szCs w:val="32"/>
          <w:u w:val="none" w:color="auto"/>
          <w14:textFill>
            <w14:solidFill>
              <w14:schemeClr w14:val="tx1"/>
            </w14:solidFill>
          </w14:textFill>
        </w:rPr>
        <w:t>联系电话：</w:t>
      </w:r>
      <w:r>
        <w:rPr>
          <w:rFonts w:ascii="仿宋" w:hAnsi="仿宋" w:eastAsia="仿宋" w:cs="仿宋"/>
          <w:color w:val="000000" w:themeColor="text1"/>
          <w:kern w:val="0"/>
          <w:sz w:val="32"/>
          <w:szCs w:val="32"/>
          <w:u w:val="none" w:color="auto"/>
          <w:lang w:eastAsia="en-US"/>
          <w14:textFill>
            <w14:solidFill>
              <w14:schemeClr w14:val="tx1"/>
            </w14:solidFill>
          </w14:textFill>
        </w:rPr>
        <w:t>0478-8766108</w:t>
      </w:r>
    </w:p>
    <w:p w14:paraId="59F0836B">
      <w:pPr>
        <w:pStyle w:val="3"/>
        <w:keepNext w:val="0"/>
        <w:keepLines w:val="0"/>
        <w:widowControl/>
        <w:spacing w:before="299" w:after="299" w:line="240" w:lineRule="auto"/>
        <w:jc w:val="center"/>
        <w:rPr>
          <w:rFonts w:ascii="Times New Roman" w:hAnsi="Times New Roman" w:eastAsia="Times New Roman" w:cs="Times New Roman"/>
          <w:b/>
          <w:bCs/>
          <w:color w:val="000000" w:themeColor="text1"/>
          <w:kern w:val="0"/>
          <w:sz w:val="36"/>
          <w:szCs w:val="36"/>
          <w:u w:val="none" w:color="auto"/>
          <w14:textFill>
            <w14:solidFill>
              <w14:schemeClr w14:val="tx1"/>
            </w14:solidFill>
          </w14:textFill>
        </w:rPr>
      </w:pPr>
      <w:r>
        <w:rPr>
          <w:rFonts w:ascii="fang_zheng_xiao_biao_song_ti" w:hAnsi="fang_zheng_xiao_biao_song_ti" w:eastAsia="fang_zheng_xiao_biao_song_ti" w:cs="fang_zheng_xiao_biao_song_ti"/>
          <w:color w:val="000000" w:themeColor="text1"/>
          <w:kern w:val="0"/>
          <w:sz w:val="36"/>
          <w:szCs w:val="36"/>
          <w:u w:val="none" w:color="auto"/>
          <w14:textFill>
            <w14:solidFill>
              <w14:schemeClr w14:val="tx1"/>
            </w14:solidFill>
          </w14:textFill>
        </w:rPr>
        <w:t>第五部分</w:t>
      </w:r>
      <w:r>
        <w:rPr>
          <w:rFonts w:ascii="Times New Roman" w:hAnsi="Times New Roman" w:eastAsia="Times New Roman" w:cs="Times New Roman"/>
          <w:color w:val="000000" w:themeColor="text1"/>
          <w:kern w:val="0"/>
          <w:sz w:val="36"/>
          <w:szCs w:val="36"/>
          <w:u w:val="none" w:color="auto"/>
          <w14:textFill>
            <w14:solidFill>
              <w14:schemeClr w14:val="tx1"/>
            </w14:solidFill>
          </w14:textFill>
        </w:rPr>
        <w:t> </w:t>
      </w:r>
      <w:r>
        <w:rPr>
          <w:rFonts w:ascii="方正小标宋简体" w:hAnsi="方正小标宋简体" w:eastAsia="方正小标宋简体" w:cs="方正小标宋简体"/>
          <w:b w:val="0"/>
          <w:bCs w:val="0"/>
          <w:color w:val="000000" w:themeColor="text1"/>
          <w:kern w:val="0"/>
          <w:sz w:val="36"/>
          <w:szCs w:val="36"/>
          <w:u w:val="none" w:color="auto"/>
          <w14:textFill>
            <w14:solidFill>
              <w14:schemeClr w14:val="tx1"/>
            </w14:solidFill>
          </w14:textFill>
        </w:rPr>
        <w:t xml:space="preserve"> </w:t>
      </w:r>
      <w:r>
        <w:rPr>
          <w:rFonts w:ascii="fang_zheng_xiao_biao_song_ti" w:hAnsi="fang_zheng_xiao_biao_song_ti" w:eastAsia="fang_zheng_xiao_biao_song_ti" w:cs="fang_zheng_xiao_biao_song_ti"/>
          <w:color w:val="000000" w:themeColor="text1"/>
          <w:kern w:val="0"/>
          <w:sz w:val="36"/>
          <w:szCs w:val="36"/>
          <w:u w:val="none" w:color="auto"/>
          <w14:textFill>
            <w14:solidFill>
              <w14:schemeClr w14:val="tx1"/>
            </w14:solidFill>
          </w14:textFill>
        </w:rPr>
        <w:t>部门（单位）决算表</w:t>
      </w:r>
    </w:p>
    <w:p w14:paraId="0158F342">
      <w:pPr>
        <w:pStyle w:val="29"/>
        <w:widowControl/>
        <w:spacing w:before="240" w:after="240"/>
        <w:ind w:left="0" w:right="0"/>
        <w:jc w:val="center"/>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Times New Roman" w:hAnsi="Times New Roman" w:eastAsia="Times New Roman" w:cs="Times New Roman"/>
          <w:color w:val="000000" w:themeColor="text1"/>
          <w:kern w:val="0"/>
          <w:sz w:val="24"/>
          <w:u w:val="none" w:color="auto"/>
          <w:lang w:eastAsia="en-US"/>
          <w14:textFill>
            <w14:solidFill>
              <w14:schemeClr w14:val="tx1"/>
            </w14:solidFill>
          </w14:textFill>
        </w:rPr>
        <w:t> </w:t>
      </w:r>
    </w:p>
    <w:p w14:paraId="41A5BCF9">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见附件。</w:t>
      </w:r>
    </w:p>
    <w:bookmarkEnd w:id="0"/>
    <w:p w14:paraId="13CF8802">
      <w:pPr>
        <w:adjustRightInd w:val="0"/>
        <w:snapToGrid w:val="0"/>
        <w:rPr>
          <w:rFonts w:ascii="宋体" w:hAnsi="宋体"/>
          <w:b/>
          <w:color w:val="000000" w:themeColor="text1"/>
          <w:sz w:val="32"/>
          <w:szCs w:val="32"/>
          <w:u w:val="none" w:color="auto"/>
          <w14:textFill>
            <w14:solidFill>
              <w14:schemeClr w14:val="tx1"/>
            </w14:solidFill>
          </w14:textFill>
        </w:rPr>
      </w:pPr>
    </w:p>
    <w:p w14:paraId="20F15A93">
      <w:pPr>
        <w:adjustRightInd w:val="0"/>
        <w:snapToGrid w:val="0"/>
        <w:rPr>
          <w:rFonts w:ascii="宋体" w:hAnsi="宋体"/>
          <w:b/>
          <w:color w:val="000000" w:themeColor="text1"/>
          <w:sz w:val="32"/>
          <w:szCs w:val="32"/>
          <w:u w:val="none" w:color="auto"/>
          <w14:textFill>
            <w14:solidFill>
              <w14:schemeClr w14:val="tx1"/>
            </w14:solidFill>
          </w14:textFill>
        </w:rPr>
      </w:pPr>
    </w:p>
    <w:p w14:paraId="594102C1">
      <w:pPr>
        <w:tabs>
          <w:tab w:val="left" w:pos="8415"/>
        </w:tabs>
        <w:rPr>
          <w:color w:val="000000" w:themeColor="text1"/>
          <w:u w:val="none" w:color="auto"/>
          <w14:textFill>
            <w14:solidFill>
              <w14:schemeClr w14:val="tx1"/>
            </w14:solidFill>
          </w14:textFill>
        </w:rPr>
      </w:pPr>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Century Gothic"/>
    <w:panose1 w:val="020F0502020204030204"/>
    <w:charset w:val="00"/>
    <w:family w:val="swiss"/>
    <w:pitch w:val="default"/>
    <w:sig w:usb0="00000000" w:usb1="00000000" w:usb2="00000001" w:usb3="00000000" w:csb0="0000019F" w:csb1="00000000"/>
  </w:font>
  <w:font w:name="Century Gothic">
    <w:panose1 w:val="020B0502020202020204"/>
    <w:charset w:val="00"/>
    <w:family w:val="auto"/>
    <w:pitch w:val="default"/>
    <w:sig w:usb0="00000287" w:usb1="00000000" w:usb2="00000000" w:usb3="00000000" w:csb0="2000009F" w:csb1="DFD7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仿宋">
    <w:altName w:val="微软雅黑"/>
    <w:panose1 w:val="02010609060101010101"/>
    <w:charset w:val="86"/>
    <w:family w:val="modern"/>
    <w:pitch w:val="default"/>
    <w:sig w:usb0="00000000" w:usb1="00000000" w:usb2="00000016" w:usb3="00000000" w:csb0="00040001" w:csb1="00000000"/>
  </w:font>
  <w:font w:name="微软雅黑">
    <w:panose1 w:val="020B0503020204020204"/>
    <w:charset w:val="86"/>
    <w:family w:val="auto"/>
    <w:pitch w:val="default"/>
    <w:sig w:usb0="80000287" w:usb1="2A0F3C52"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_new_roman">
    <w:altName w:val="汉仪旗黑-55"/>
    <w:panose1 w:val="00000000000000000000"/>
    <w:charset w:val="00"/>
    <w:family w:val="auto"/>
    <w:pitch w:val="default"/>
    <w:sig w:usb0="00000000" w:usb1="00000000" w:usb2="00000000" w:usb3="00000000" w:csb0="00000000" w:csb1="00000000"/>
  </w:font>
  <w:font w:name="汉仪旗黑-55">
    <w:panose1 w:val="00020600040101010101"/>
    <w:charset w:val="86"/>
    <w:family w:val="auto"/>
    <w:pitch w:val="default"/>
    <w:sig w:usb0="A00002BF" w:usb1="18EF7CFA" w:usb2="00000016" w:usb3="00000000" w:csb0="00040000" w:csb1="00000000"/>
  </w:font>
  <w:font w:name="SimSun">
    <w:panose1 w:val="02010600030101010101"/>
    <w:charset w:val="86"/>
    <w:family w:val="auto"/>
    <w:pitch w:val="default"/>
    <w:sig w:usb0="00000003" w:usb1="080E0000" w:usb2="00000000" w:usb3="00000000" w:csb0="00040001" w:csb1="00000000"/>
  </w:font>
  <w:font w:name="Times New Roman Regular">
    <w:altName w:val="Times New Roman"/>
    <w:panose1 w:val="02020503050405090304"/>
    <w:charset w:val="00"/>
    <w:family w:val="auto"/>
    <w:pitch w:val="default"/>
    <w:sig w:usb0="00000000" w:usb1="00000000" w:usb2="00000001" w:usb3="00000000" w:csb0="400001BF" w:csb1="DFF70000"/>
  </w:font>
  <w:font w:name="FZSJ-FANGSGBTTOT">
    <w:altName w:val="PMingLiU"/>
    <w:panose1 w:val="02000000000000000000"/>
    <w:charset w:val="86"/>
    <w:family w:val="auto"/>
    <w:pitch w:val="default"/>
    <w:sig w:usb0="00000000" w:usb1="00000000" w:usb2="00000012" w:usb3="00000000" w:csb0="00040001" w:csb1="00000000"/>
  </w:font>
  <w:font w:name="PMingLiU">
    <w:panose1 w:val="02020300000000000000"/>
    <w:charset w:val="88"/>
    <w:family w:val="auto"/>
    <w:pitch w:val="default"/>
    <w:sig w:usb0="00000003" w:usb1="082E0000" w:usb2="00000016" w:usb3="00000000" w:csb0="00100001" w:csb1="00000000"/>
  </w:font>
  <w:font w:name="fang_zheng_xiao_biao_song_ti">
    <w:altName w:val="汉仪旗黑-55"/>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7374A">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C1AA3">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9CB32D"/>
    <w:multiLevelType w:val="singleLevel"/>
    <w:tmpl w:val="FF9CB32D"/>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F583AD"/>
    <w:rsid w:val="1FF3B339"/>
    <w:rsid w:val="60B7F768"/>
    <w:rsid w:val="68F9084C"/>
    <w:rsid w:val="69FFE046"/>
    <w:rsid w:val="6EF71A15"/>
    <w:rsid w:val="6FA7C790"/>
    <w:rsid w:val="6FC77133"/>
    <w:rsid w:val="73FE84EF"/>
    <w:rsid w:val="7BCFB709"/>
    <w:rsid w:val="7FB70054"/>
    <w:rsid w:val="7FD5B3F4"/>
    <w:rsid w:val="7FEBFA12"/>
    <w:rsid w:val="9EFD3537"/>
    <w:rsid w:val="BFF2E3DA"/>
    <w:rsid w:val="BFF9FE22"/>
    <w:rsid w:val="E867CF41"/>
    <w:rsid w:val="F79BC94D"/>
    <w:rsid w:val="FC738537"/>
    <w:rsid w:val="FC74C8E2"/>
    <w:rsid w:val="FFCCE91F"/>
    <w:rsid w:val="FFCF55B7"/>
    <w:rsid w:val="FFEB05A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8"/>
    <w:qFormat/>
    <w:uiPriority w:val="0"/>
    <w:pPr>
      <w:keepNext/>
      <w:keepLines/>
      <w:spacing w:before="260" w:after="260" w:line="416" w:lineRule="auto"/>
      <w:outlineLvl w:val="2"/>
    </w:pPr>
    <w:rPr>
      <w:b/>
      <w:bCs/>
      <w:sz w:val="32"/>
      <w:szCs w:val="32"/>
    </w:rPr>
  </w:style>
  <w:style w:type="paragraph" w:styleId="5">
    <w:name w:val="heading 4"/>
    <w:basedOn w:val="1"/>
    <w:next w:val="1"/>
    <w:link w:val="23"/>
    <w:qFormat/>
    <w:uiPriority w:val="0"/>
    <w:pPr>
      <w:keepNext/>
      <w:keepLines/>
      <w:spacing w:before="280" w:after="290" w:line="376" w:lineRule="auto"/>
      <w:outlineLvl w:val="3"/>
    </w:pPr>
    <w:rPr>
      <w:rFonts w:ascii="Cambria" w:hAnsi="Cambria"/>
      <w:b/>
      <w:bCs/>
      <w:sz w:val="28"/>
      <w:szCs w:val="28"/>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260"/>
      <w:jc w:val="left"/>
    </w:pPr>
    <w:rPr>
      <w:sz w:val="20"/>
      <w:szCs w:val="20"/>
    </w:rPr>
  </w:style>
  <w:style w:type="paragraph" w:styleId="7">
    <w:name w:val="Document Map"/>
    <w:basedOn w:val="1"/>
    <w:qFormat/>
    <w:uiPriority w:val="0"/>
    <w:pPr>
      <w:shd w:val="clear" w:color="auto" w:fill="000080"/>
    </w:pPr>
  </w:style>
  <w:style w:type="paragraph" w:styleId="8">
    <w:name w:val="toc 5"/>
    <w:basedOn w:val="1"/>
    <w:next w:val="1"/>
    <w:qFormat/>
    <w:uiPriority w:val="0"/>
    <w:pPr>
      <w:ind w:left="840"/>
      <w:jc w:val="left"/>
    </w:pPr>
    <w:rPr>
      <w:sz w:val="20"/>
      <w:szCs w:val="20"/>
    </w:rPr>
  </w:style>
  <w:style w:type="paragraph" w:styleId="9">
    <w:name w:val="toc 3"/>
    <w:basedOn w:val="1"/>
    <w:next w:val="1"/>
    <w:qFormat/>
    <w:uiPriority w:val="0"/>
    <w:pPr>
      <w:adjustRightInd w:val="0"/>
      <w:snapToGrid w:val="0"/>
      <w:spacing w:line="360" w:lineRule="auto"/>
      <w:ind w:firstLine="400" w:firstLineChars="400"/>
      <w:jc w:val="left"/>
    </w:pPr>
    <w:rPr>
      <w:sz w:val="24"/>
      <w:szCs w:val="20"/>
    </w:rPr>
  </w:style>
  <w:style w:type="paragraph" w:styleId="10">
    <w:name w:val="toc 8"/>
    <w:basedOn w:val="1"/>
    <w:next w:val="1"/>
    <w:qFormat/>
    <w:uiPriority w:val="0"/>
    <w:pPr>
      <w:ind w:left="1470"/>
      <w:jc w:val="left"/>
    </w:pPr>
    <w:rPr>
      <w:sz w:val="20"/>
      <w:szCs w:val="20"/>
    </w:rPr>
  </w:style>
  <w:style w:type="paragraph" w:styleId="11">
    <w:name w:val="footer"/>
    <w:basedOn w:val="1"/>
    <w:link w:val="26"/>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pPr>
      <w:adjustRightInd w:val="0"/>
      <w:snapToGrid w:val="0"/>
      <w:spacing w:line="360" w:lineRule="auto"/>
      <w:jc w:val="left"/>
    </w:pPr>
    <w:rPr>
      <w:b/>
      <w:bCs/>
      <w:sz w:val="24"/>
      <w:szCs w:val="20"/>
    </w:rPr>
  </w:style>
  <w:style w:type="paragraph" w:styleId="14">
    <w:name w:val="toc 4"/>
    <w:basedOn w:val="1"/>
    <w:next w:val="1"/>
    <w:qFormat/>
    <w:uiPriority w:val="0"/>
    <w:pPr>
      <w:ind w:left="630"/>
      <w:jc w:val="left"/>
    </w:pPr>
    <w:rPr>
      <w:sz w:val="20"/>
      <w:szCs w:val="20"/>
    </w:rPr>
  </w:style>
  <w:style w:type="paragraph" w:styleId="15">
    <w:name w:val="toc 6"/>
    <w:basedOn w:val="1"/>
    <w:next w:val="1"/>
    <w:qFormat/>
    <w:uiPriority w:val="0"/>
    <w:pPr>
      <w:ind w:left="1050"/>
      <w:jc w:val="left"/>
    </w:pPr>
    <w:rPr>
      <w:sz w:val="20"/>
      <w:szCs w:val="20"/>
    </w:rPr>
  </w:style>
  <w:style w:type="paragraph" w:styleId="16">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7">
    <w:name w:val="toc 9"/>
    <w:basedOn w:val="1"/>
    <w:next w:val="1"/>
    <w:qFormat/>
    <w:uiPriority w:val="0"/>
    <w:pPr>
      <w:ind w:left="1680"/>
      <w:jc w:val="left"/>
    </w:pPr>
    <w:rPr>
      <w:sz w:val="20"/>
      <w:szCs w:val="20"/>
    </w:rPr>
  </w:style>
  <w:style w:type="character" w:styleId="20">
    <w:name w:val="Strong"/>
    <w:basedOn w:val="19"/>
    <w:qFormat/>
    <w:uiPriority w:val="0"/>
    <w:rPr>
      <w:b/>
    </w:rPr>
  </w:style>
  <w:style w:type="character" w:styleId="21">
    <w:name w:val="page number"/>
    <w:basedOn w:val="19"/>
    <w:qFormat/>
    <w:uiPriority w:val="0"/>
  </w:style>
  <w:style w:type="character" w:styleId="22">
    <w:name w:val="Hyperlink"/>
    <w:basedOn w:val="19"/>
    <w:qFormat/>
    <w:uiPriority w:val="0"/>
    <w:rPr>
      <w:color w:val="0000FF"/>
      <w:u w:val="single"/>
    </w:rPr>
  </w:style>
  <w:style w:type="character" w:customStyle="1" w:styleId="23">
    <w:name w:val="标题 4 Char"/>
    <w:basedOn w:val="19"/>
    <w:link w:val="5"/>
    <w:qFormat/>
    <w:uiPriority w:val="0"/>
    <w:rPr>
      <w:rFonts w:ascii="Cambria" w:hAnsi="Cambria"/>
      <w:b/>
      <w:bCs/>
      <w:kern w:val="2"/>
      <w:sz w:val="28"/>
      <w:szCs w:val="28"/>
    </w:rPr>
  </w:style>
  <w:style w:type="paragraph" w:styleId="24">
    <w:name w:val="No Spacing"/>
    <w:link w:val="25"/>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5">
    <w:name w:val="无间隔 Char"/>
    <w:link w:val="24"/>
    <w:qFormat/>
    <w:locked/>
    <w:uiPriority w:val="0"/>
    <w:rPr>
      <w:rFonts w:eastAsia="仿宋_GB2312"/>
      <w:sz w:val="30"/>
      <w:szCs w:val="22"/>
      <w:lang w:bidi="ar-SA"/>
    </w:rPr>
  </w:style>
  <w:style w:type="character" w:customStyle="1" w:styleId="26">
    <w:name w:val="页脚 Char"/>
    <w:basedOn w:val="19"/>
    <w:link w:val="11"/>
    <w:qFormat/>
    <w:uiPriority w:val="0"/>
    <w:rPr>
      <w:kern w:val="2"/>
      <w:sz w:val="18"/>
      <w:szCs w:val="18"/>
    </w:rPr>
  </w:style>
  <w:style w:type="paragraph" w:styleId="27">
    <w:name w:val="List Paragraph"/>
    <w:basedOn w:val="1"/>
    <w:qFormat/>
    <w:uiPriority w:val="0"/>
    <w:pPr>
      <w:ind w:firstLine="420" w:firstLineChars="200"/>
    </w:pPr>
  </w:style>
  <w:style w:type="character" w:customStyle="1" w:styleId="28">
    <w:name w:val="标题 3 Char"/>
    <w:basedOn w:val="19"/>
    <w:link w:val="4"/>
    <w:qFormat/>
    <w:uiPriority w:val="0"/>
    <w:rPr>
      <w:b/>
      <w:bCs/>
      <w:kern w:val="2"/>
      <w:sz w:val="32"/>
      <w:szCs w:val="32"/>
    </w:rPr>
  </w:style>
  <w:style w:type="paragraph" w:customStyle="1" w:styleId="29">
    <w:name w:val="MsoNormal"/>
    <w:basedOn w:val="1"/>
    <w:qFormat/>
    <w:uiPriority w:val="0"/>
  </w:style>
  <w:style w:type="paragraph" w:customStyle="1" w:styleId="30">
    <w:name w:val="Table Text"/>
    <w:basedOn w:val="1"/>
    <w:semiHidden/>
    <w:qFormat/>
    <w:uiPriority w:val="0"/>
    <w:rPr>
      <w:rFonts w:ascii="方正仿宋_GB2312" w:hAnsi="方正仿宋_GB2312" w:eastAsia="方正仿宋_GB2312" w:cs="方正仿宋_GB2312"/>
      <w:sz w:val="18"/>
      <w:szCs w:val="18"/>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wne="http://schemas.microsoft.com/office/word/2006/wordml" xmlns:w14="http://schemas.microsoft.com/office/word/2010/wordml" xmlns:w15="http://schemas.microsoft.com/office/word/2012/wordml" xmlns:comp="http://schemas.openxmlformats.org/drawingml/2006/compatibility" xmlns:wp="http://schemas.openxmlformats.org/drawingml/2006/wordprocessingDrawing" xmlns:wps="http://schemas.microsoft.com/office/word/2010/wordprocessingShape" xmlns:odgm="http://opendope.org/SmartArt/DataHierarchy" xmlns:c14="http://schemas.microsoft.com/office/drawing/2007/8/2/chart" xmlns:sl="http://schemas.openxmlformats.org/schemaLibrary/2006/main" xmlns:pic="http://schemas.openxmlformats.org/drawingml/2006/picture" xmlns:w16cid="http://schemas.microsoft.com/office/word/2016/wordml/cid" xmlns:mc="http://schemas.openxmlformats.org/markup-compatibility/2006" xmlns:dgm="http://schemas.openxmlformats.org/drawingml/2006/diagram" xmlns:w16se="http://schemas.microsoft.com/office/word/2015/wordml/symex" xmlns:oda="http://opendope.org/answers" xmlns:a="http://schemas.openxmlformats.org/drawingml/2006/main" xmlns:odc="http://opendope.org/conditions" xmlns:wp14="http://schemas.microsoft.com/office/word/2010/wordprocessingDrawing" xmlns:c="http://schemas.openxmlformats.org/drawingml/2006/chart" xmlns:odi="http://opendope.org/components" xmlns:cdr="http://schemas.openxmlformats.org/drawingml/2006/chartDrawing" xmlns:wetp="http://schemas.microsoft.com/office/webextensions/taskpanes/2010/11" xmlns:m="http://schemas.openxmlformats.org/officeDocument/2006/math" xmlns:pvml="urn:schemas-microsoft-com:office:powerpoint" xmlns:o="urn:schemas-microsoft-com:office:office" xmlns:odq="http://opendope.org/questions" xmlns:r="http://schemas.openxmlformats.org/officeDocument/2006/relationships" xmlns:lc="http://schemas.openxmlformats.org/drawingml/2006/lockedCanvas" xmlns:cppr="http://schemas.microsoft.com/office/2006/coverPageProps" xmlns:v="urn:schemas-microsoft-com:vml" xmlns:xvml="urn:schemas-microsoft-com:office:excel" xmlns:w="http://schemas.openxmlformats.org/wordprocessingml/2006/main" xmlns:xdr="http://schemas.openxmlformats.org/drawingml/2006/spreadsheetDrawing" xmlns:odx="http://opendope.org/xpaths" xmlns:dsp="http://schemas.microsoft.com/office/drawing/2008/diagram" xmlns:we="http://schemas.microsoft.com/office/webextensions/webextension/2010/11" xmlns:w10="urn:schemas-microsoft-com:office:word"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30</Pages>
  <Words>7</Words>
  <Characters>40</Characters>
  <Lines>1</Lines>
  <Paragraphs>1</Paragraphs>
  <TotalTime>9</TotalTime>
  <ScaleCrop>false</ScaleCrop>
  <LinksUpToDate>false</LinksUpToDate>
  <CharactersWithSpaces>46</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2022-03-25T20:40:00Z</dcterms:created>
  <dc:creator>Administrator</dc:creator>
  <cp:lastModifiedBy>user</cp:lastModifiedBy>
  <cp:lastPrinted>2021-04-18T08:45:00Z</cp:lastPrinted>
  <dcterms:modified xsi:type="dcterms:W3CDTF">2026-09-22T09:26:33Z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BBE7EF110530AA6849D9B16AFC49834B_43</vt:lpwstr>
  </property>
  <property fmtid="{D5CDD505-2E9C-101B-9397-08002B2CF9AE}" pid="3" name="KSOProductBuildVer">
    <vt:lpwstr>2052-12.8.2.20327</vt:lpwstr>
  </property>
  <property fmtid="{D5CDD505-2E9C-101B-9397-08002B2CF9AE}" pid="4" name="KSOTemplateDocerSaveRecord">
    <vt:lpwstr>eyJoZGlkIjoiN2YzNjBkOTgyNWQ1YTMxYzM3MzMwNWFiODNmOWIzYWMiLCJ1c2VySWQiOiI4MDUyMTE2MjkifQ==</vt:lpwstr>
  </property>
</Properties>
</file>