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002F1">
      <w:pPr>
        <w:spacing w:line="360" w:lineRule="auto"/>
        <w:jc w:val="right"/>
        <w:rPr>
          <w:rFonts w:ascii="宋体" w:hAnsi="宋体"/>
          <w:sz w:val="24"/>
        </w:rPr>
      </w:pPr>
    </w:p>
    <w:p w14:paraId="3145ADB8">
      <w:pPr>
        <w:spacing w:line="360" w:lineRule="auto"/>
        <w:jc w:val="center"/>
        <w:rPr>
          <w:rFonts w:ascii="宋体" w:hAnsi="宋体"/>
          <w:sz w:val="24"/>
        </w:rPr>
      </w:pPr>
    </w:p>
    <w:p w14:paraId="6DEB8A59">
      <w:pPr>
        <w:spacing w:line="360" w:lineRule="auto"/>
        <w:jc w:val="center"/>
        <w:rPr>
          <w:rFonts w:ascii="宋体" w:hAnsi="宋体"/>
          <w:sz w:val="24"/>
        </w:rPr>
      </w:pPr>
    </w:p>
    <w:p w14:paraId="541F4EDC">
      <w:pPr>
        <w:spacing w:line="360" w:lineRule="auto"/>
        <w:jc w:val="center"/>
        <w:rPr>
          <w:rFonts w:ascii="宋体" w:hAnsi="宋体"/>
          <w:sz w:val="24"/>
        </w:rPr>
      </w:pPr>
    </w:p>
    <w:p w14:paraId="29B4AB29">
      <w:pPr>
        <w:spacing w:line="360" w:lineRule="auto"/>
        <w:jc w:val="center"/>
        <w:rPr>
          <w:rFonts w:hint="eastAsia" w:ascii="宋体" w:hAnsi="宋体" w:eastAsia="宋体"/>
          <w:b/>
          <w:bCs/>
          <w:sz w:val="52"/>
          <w:szCs w:val="52"/>
          <w:lang w:eastAsia="zh-CN"/>
        </w:rPr>
      </w:pPr>
      <w:r>
        <w:rPr>
          <w:rFonts w:ascii="宋体" w:hAnsi="宋体"/>
          <w:b/>
          <w:bCs/>
          <w:sz w:val="52"/>
          <w:szCs w:val="52"/>
        </w:rPr>
        <w:t>2025</w:t>
      </w:r>
      <w:r>
        <w:rPr>
          <w:rFonts w:hint="eastAsia" w:ascii="宋体" w:hAnsi="宋体"/>
          <w:b/>
          <w:bCs/>
          <w:sz w:val="52"/>
          <w:szCs w:val="52"/>
        </w:rPr>
        <w:t>年度内蒙古自治区巴彦淖尔市房屋产权交易中心</w:t>
      </w:r>
      <w:r>
        <w:rPr>
          <w:rFonts w:hint="eastAsia" w:ascii="宋体" w:hAnsi="宋体"/>
          <w:b/>
          <w:bCs/>
          <w:sz w:val="52"/>
          <w:szCs w:val="52"/>
          <w:lang w:eastAsia="zh-CN"/>
        </w:rPr>
        <w:t>决算公开</w:t>
      </w:r>
    </w:p>
    <w:p w14:paraId="410590D7">
      <w:pPr>
        <w:spacing w:line="360" w:lineRule="auto"/>
        <w:jc w:val="center"/>
        <w:rPr>
          <w:rFonts w:ascii="宋体" w:hAnsi="宋体"/>
          <w:b/>
          <w:bCs/>
          <w:sz w:val="52"/>
          <w:szCs w:val="52"/>
        </w:rPr>
      </w:pPr>
    </w:p>
    <w:p w14:paraId="4500FDE5">
      <w:pPr>
        <w:spacing w:line="360" w:lineRule="auto"/>
        <w:jc w:val="center"/>
        <w:rPr>
          <w:rFonts w:ascii="宋体" w:hAnsi="宋体"/>
          <w:b/>
          <w:bCs/>
          <w:sz w:val="52"/>
          <w:szCs w:val="52"/>
        </w:rPr>
      </w:pPr>
    </w:p>
    <w:p w14:paraId="7863EAC9">
      <w:pPr>
        <w:spacing w:line="360" w:lineRule="auto"/>
        <w:jc w:val="center"/>
        <w:rPr>
          <w:rFonts w:ascii="宋体" w:hAnsi="宋体"/>
          <w:b/>
          <w:bCs/>
          <w:sz w:val="52"/>
          <w:szCs w:val="52"/>
        </w:rPr>
      </w:pPr>
    </w:p>
    <w:p w14:paraId="563FDB94">
      <w:pPr>
        <w:pStyle w:val="2"/>
        <w:rPr>
          <w:rFonts w:ascii="宋体" w:hAnsi="宋体"/>
          <w:b/>
          <w:bCs/>
          <w:sz w:val="52"/>
          <w:szCs w:val="52"/>
        </w:rPr>
      </w:pPr>
    </w:p>
    <w:p w14:paraId="790EB1B3"/>
    <w:p w14:paraId="4895DC9A">
      <w:pPr>
        <w:spacing w:line="360" w:lineRule="auto"/>
        <w:jc w:val="center"/>
        <w:rPr>
          <w:rFonts w:ascii="宋体" w:hAnsi="宋体"/>
          <w:b/>
          <w:bCs/>
          <w:sz w:val="52"/>
          <w:szCs w:val="52"/>
        </w:rPr>
      </w:pPr>
    </w:p>
    <w:p w14:paraId="14480D11">
      <w:pPr>
        <w:pStyle w:val="2"/>
        <w:numPr>
          <w:ilvl w:val="0"/>
          <w:numId w:val="0"/>
        </w:numPr>
        <w:spacing w:after="0" w:line="600" w:lineRule="exact"/>
        <w:ind w:leftChars="0" w:firstLine="1920" w:firstLineChars="600"/>
        <w:jc w:val="left"/>
        <w:rPr>
          <w:rFonts w:hint="default" w:ascii="黑体" w:hAnsi="黑体" w:eastAsia="黑体" w:cs="黑体"/>
        </w:rPr>
      </w:pPr>
      <w:bookmarkStart w:id="0" w:name="OLE_LINK1"/>
      <w:r>
        <w:rPr>
          <w:rFonts w:ascii="黑体" w:hAnsi="黑体" w:eastAsia="黑体" w:cs="黑体"/>
          <w:sz w:val="32"/>
          <w:szCs w:val="32"/>
        </w:rPr>
        <w:t>批复时间：</w:t>
      </w:r>
      <w:r>
        <w:rPr>
          <w:rFonts w:hint="eastAsia" w:ascii="黑体" w:hAnsi="黑体" w:eastAsia="黑体" w:cs="黑体"/>
          <w:sz w:val="32"/>
          <w:szCs w:val="32"/>
          <w:u w:val="single"/>
          <w:lang w:val="en-US" w:eastAsia="zh-CN"/>
        </w:rPr>
        <w:t>2026</w:t>
      </w:r>
      <w:r>
        <w:rPr>
          <w:rFonts w:ascii="黑体" w:hAnsi="黑体" w:eastAsia="黑体" w:cs="黑体"/>
          <w:sz w:val="32"/>
          <w:szCs w:val="32"/>
          <w:u w:val="single"/>
        </w:rPr>
        <w:t xml:space="preserve"> 年 </w:t>
      </w:r>
      <w:r>
        <w:rPr>
          <w:rFonts w:hint="eastAsia" w:ascii="黑体" w:hAnsi="黑体" w:eastAsia="黑体" w:cs="黑体"/>
          <w:sz w:val="32"/>
          <w:szCs w:val="32"/>
          <w:u w:val="single"/>
          <w:lang w:val="en-US" w:eastAsia="zh-CN"/>
        </w:rPr>
        <w:t>09</w:t>
      </w:r>
      <w:r>
        <w:rPr>
          <w:rFonts w:ascii="黑体" w:hAnsi="黑体" w:eastAsia="黑体" w:cs="黑体"/>
          <w:sz w:val="32"/>
          <w:szCs w:val="32"/>
          <w:u w:val="single"/>
        </w:rPr>
        <w:t xml:space="preserve"> 月 </w:t>
      </w:r>
      <w:r>
        <w:rPr>
          <w:rFonts w:hint="eastAsia" w:ascii="黑体" w:hAnsi="黑体" w:eastAsia="黑体" w:cs="黑体"/>
          <w:sz w:val="32"/>
          <w:szCs w:val="32"/>
          <w:u w:val="single"/>
          <w:lang w:val="en-US" w:eastAsia="zh-CN"/>
        </w:rPr>
        <w:t>07</w:t>
      </w:r>
      <w:r>
        <w:rPr>
          <w:rFonts w:ascii="黑体" w:hAnsi="黑体" w:eastAsia="黑体" w:cs="黑体"/>
          <w:sz w:val="32"/>
          <w:szCs w:val="32"/>
          <w:u w:val="single"/>
        </w:rPr>
        <w:t xml:space="preserve"> 日</w:t>
      </w:r>
    </w:p>
    <w:p w14:paraId="79860C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1920" w:firstLineChars="600"/>
        <w:jc w:val="left"/>
        <w:textAlignment w:val="auto"/>
        <w:rPr>
          <w:rFonts w:hint="default" w:ascii="Times New Roman" w:hAnsi="Times New Roman" w:eastAsia="宋体" w:cs="Times New Roman"/>
          <w:sz w:val="32"/>
          <w:szCs w:val="32"/>
          <w:u w:val="none"/>
        </w:rPr>
      </w:pPr>
      <w:r>
        <w:rPr>
          <w:rFonts w:ascii="黑体" w:hAnsi="黑体" w:eastAsia="黑体" w:cs="黑体"/>
          <w:sz w:val="32"/>
          <w:szCs w:val="32"/>
        </w:rPr>
        <w:t>公开时间：</w:t>
      </w:r>
      <w:r>
        <w:rPr>
          <w:rFonts w:hint="eastAsia" w:ascii="黑体" w:hAnsi="黑体" w:eastAsia="黑体" w:cs="黑体"/>
          <w:sz w:val="32"/>
          <w:szCs w:val="32"/>
          <w:u w:val="single"/>
          <w:lang w:val="en-US" w:eastAsia="zh-CN"/>
        </w:rPr>
        <w:t xml:space="preserve">2026 </w:t>
      </w:r>
      <w:r>
        <w:rPr>
          <w:rFonts w:ascii="黑体" w:hAnsi="黑体" w:eastAsia="黑体" w:cs="黑体"/>
          <w:sz w:val="32"/>
          <w:szCs w:val="32"/>
          <w:u w:val="single"/>
        </w:rPr>
        <w:t xml:space="preserve">年 </w:t>
      </w:r>
      <w:r>
        <w:rPr>
          <w:rFonts w:hint="eastAsia" w:ascii="黑体" w:hAnsi="黑体" w:eastAsia="黑体" w:cs="黑体"/>
          <w:sz w:val="32"/>
          <w:szCs w:val="32"/>
          <w:u w:val="single"/>
          <w:lang w:val="en-US" w:eastAsia="zh-CN"/>
        </w:rPr>
        <w:t xml:space="preserve">09 </w:t>
      </w:r>
      <w:r>
        <w:rPr>
          <w:rFonts w:ascii="黑体" w:hAnsi="黑体" w:eastAsia="黑体" w:cs="黑体"/>
          <w:sz w:val="32"/>
          <w:szCs w:val="32"/>
          <w:u w:val="single"/>
        </w:rPr>
        <w:t xml:space="preserve">月 </w:t>
      </w:r>
      <w:r>
        <w:rPr>
          <w:rFonts w:hint="eastAsia" w:ascii="黑体" w:hAnsi="黑体" w:eastAsia="黑体" w:cs="黑体"/>
          <w:sz w:val="32"/>
          <w:szCs w:val="32"/>
          <w:u w:val="single"/>
          <w:lang w:val="en-US" w:eastAsia="zh-CN"/>
        </w:rPr>
        <w:t xml:space="preserve">20 </w:t>
      </w:r>
      <w:r>
        <w:rPr>
          <w:rFonts w:ascii="黑体" w:hAnsi="黑体" w:eastAsia="黑体" w:cs="黑体"/>
          <w:sz w:val="32"/>
          <w:szCs w:val="32"/>
          <w:u w:val="single"/>
        </w:rPr>
        <w:t>日</w:t>
      </w:r>
      <w:bookmarkEnd w:id="0"/>
    </w:p>
    <w:p w14:paraId="45A5ADDF">
      <w:pPr>
        <w:ind w:firstLine="2241"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35E29980">
      <w:pPr>
        <w:pStyle w:val="33"/>
        <w:widowControl/>
        <w:spacing w:after="240"/>
        <w:jc w:val="center"/>
        <w:rPr>
          <w:rFonts w:ascii="Times New Roman" w:hAnsi="Times New Roman" w:eastAsia="Times New Roman" w:cs="Times New Roman"/>
          <w:kern w:val="0"/>
          <w:sz w:val="24"/>
        </w:rPr>
      </w:pPr>
      <w:bookmarkStart w:id="1" w:name="a000"/>
      <w:r>
        <w:rPr>
          <w:rFonts w:ascii="FangSong_GB2312" w:hAnsi="FangSong_GB2312" w:eastAsia="FangSong_GB2312" w:cs="FangSong_GB2312"/>
          <w:b/>
          <w:bCs/>
          <w:kern w:val="0"/>
          <w:sz w:val="48"/>
          <w:szCs w:val="48"/>
        </w:rPr>
        <w:t>目录</w:t>
      </w:r>
    </w:p>
    <w:p w14:paraId="6241DF2A">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4395C5FC">
      <w:pPr>
        <w:pStyle w:val="33"/>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单位概况</w:t>
      </w:r>
    </w:p>
    <w:p w14:paraId="1788DCD9">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02DBA581">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二、单位机构设置及决算单位构成情况</w:t>
      </w:r>
    </w:p>
    <w:p w14:paraId="7B1FAAD0">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年度单位主要工作完成情况</w:t>
      </w:r>
    </w:p>
    <w:p w14:paraId="0B4981FF">
      <w:pPr>
        <w:pStyle w:val="33"/>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单位决算情况说明</w:t>
      </w:r>
    </w:p>
    <w:p w14:paraId="6DEB210A">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79ADC2D6">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77BB52EC">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20B989CA">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5EDD28B5">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6A81753A">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76B160E1">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4C37710E">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3E701F35">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3C663F80">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681BA57D">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7ADE4CA3">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4B7B87DD">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67EDAA1A">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25C831C6">
      <w:pPr>
        <w:pStyle w:val="33"/>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154612DB">
      <w:pPr>
        <w:pStyle w:val="33"/>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0391BF72">
      <w:pPr>
        <w:pStyle w:val="33"/>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单位决算表</w:t>
      </w:r>
    </w:p>
    <w:p w14:paraId="112C41E1">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17608F93">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0FDCA1E4">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4A7548D7">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05196FD6">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352E148D">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170B1D87">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21CEB9AA">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1FECF40D">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151EEFF0">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0ADAFB10">
      <w:pPr>
        <w:pStyle w:val="33"/>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0FE25751">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5EEB63B">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C6B57DB">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593418A">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BF1AC88">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3066E4E">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7608CCD">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6283EF0">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A1E39F7">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E8043AA">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1967886">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4EDC5BC">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41314FF">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834F8B1">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996EC80">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7CE2794">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F6B3EFB">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EC08829">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bCs/>
          <w:kern w:val="0"/>
          <w:sz w:val="36"/>
          <w:szCs w:val="36"/>
        </w:rPr>
        <w:t>第一部分</w:t>
      </w:r>
      <w:r>
        <w:rPr>
          <w:rFonts w:ascii="方正小标宋简体" w:hAnsi="方正小标宋简体" w:eastAsia="方正小标宋简体" w:cs="方正小标宋简体"/>
          <w:b/>
          <w:bCs/>
          <w:kern w:val="0"/>
          <w:sz w:val="36"/>
          <w:szCs w:val="36"/>
          <w:lang w:eastAsia="en-US"/>
        </w:rPr>
        <w:t xml:space="preserve">  </w:t>
      </w:r>
      <w:r>
        <w:rPr>
          <w:rFonts w:ascii="方正小标宋简体" w:hAnsi="方正小标宋简体" w:eastAsia="方正小标宋简体" w:cs="方正小标宋简体"/>
          <w:b/>
          <w:bCs/>
          <w:kern w:val="0"/>
          <w:sz w:val="36"/>
          <w:szCs w:val="36"/>
        </w:rPr>
        <w:t>单位概况</w:t>
      </w:r>
    </w:p>
    <w:p w14:paraId="4851BDE6">
      <w:pPr>
        <w:pStyle w:val="33"/>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4EE35FD2">
      <w:pPr>
        <w:keepNext w:val="0"/>
        <w:keepLines w:val="0"/>
        <w:pageBreakBefore w:val="0"/>
        <w:kinsoku/>
        <w:wordWrap/>
        <w:overflowPunct/>
        <w:topLinePunct w:val="0"/>
        <w:autoSpaceDE/>
        <w:autoSpaceDN/>
        <w:bidi w:val="0"/>
        <w:snapToGrid w:val="0"/>
        <w:spacing w:line="560" w:lineRule="exact"/>
        <w:ind w:left="0" w:leftChars="0" w:firstLine="643" w:firstLineChars="200"/>
        <w:jc w:val="both"/>
        <w:textAlignment w:val="auto"/>
        <w:outlineLvl w:val="2"/>
        <w:rPr>
          <w:rFonts w:hint="default" w:ascii="Times New Roman" w:hAnsi="Times New Roman" w:eastAsia="楷体_GB2312" w:cs="Times New Roman"/>
          <w:b/>
          <w:bCs/>
          <w:sz w:val="32"/>
          <w:szCs w:val="32"/>
          <w:u w:val="none"/>
        </w:rPr>
      </w:pPr>
      <w:r>
        <w:rPr>
          <w:rFonts w:hint="default" w:ascii="Times New Roman" w:hAnsi="Times New Roman" w:eastAsia="楷体_GB2312" w:cs="Times New Roman"/>
          <w:b/>
          <w:bCs/>
          <w:sz w:val="32"/>
          <w:szCs w:val="32"/>
          <w:u w:val="none"/>
        </w:rPr>
        <w:t>（一）</w:t>
      </w:r>
      <w:r>
        <w:rPr>
          <w:rFonts w:hint="default" w:ascii="Times New Roman" w:hAnsi="Times New Roman" w:eastAsia="楷体_GB2312" w:cs="Times New Roman"/>
          <w:b/>
          <w:bCs/>
          <w:sz w:val="32"/>
          <w:szCs w:val="32"/>
          <w:u w:val="none"/>
          <w:lang w:val="en-US" w:eastAsia="zh-CN"/>
        </w:rPr>
        <w:t>单位</w:t>
      </w:r>
      <w:r>
        <w:rPr>
          <w:rFonts w:hint="default" w:ascii="Times New Roman" w:hAnsi="Times New Roman" w:eastAsia="楷体_GB2312" w:cs="Times New Roman"/>
          <w:b/>
          <w:bCs/>
          <w:sz w:val="32"/>
          <w:szCs w:val="32"/>
          <w:u w:val="none"/>
        </w:rPr>
        <w:t>职能</w:t>
      </w:r>
    </w:p>
    <w:p w14:paraId="6EF91DAB">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巴彦淖尔市</w:t>
      </w:r>
      <w:r>
        <w:rPr>
          <w:rFonts w:hint="default" w:ascii="Times New Roman" w:hAnsi="Times New Roman" w:eastAsia="仿宋_GB2312" w:cs="Times New Roman"/>
          <w:sz w:val="32"/>
          <w:szCs w:val="32"/>
          <w:u w:val="none"/>
          <w:lang w:val="en-US" w:eastAsia="zh-CN"/>
        </w:rPr>
        <w:t>房屋产权交易中心</w:t>
      </w:r>
      <w:r>
        <w:rPr>
          <w:rFonts w:hint="default" w:ascii="Times New Roman" w:hAnsi="Times New Roman" w:eastAsia="仿宋_GB2312" w:cs="Times New Roman"/>
          <w:sz w:val="32"/>
          <w:szCs w:val="32"/>
          <w:u w:val="none"/>
        </w:rPr>
        <w:t>是</w:t>
      </w:r>
      <w:r>
        <w:rPr>
          <w:rFonts w:hint="default" w:ascii="Times New Roman" w:hAnsi="Times New Roman" w:eastAsia="仿宋_GB2312" w:cs="Times New Roman"/>
          <w:sz w:val="32"/>
          <w:szCs w:val="32"/>
          <w:u w:val="none"/>
          <w:lang w:val="en-US" w:eastAsia="zh-CN"/>
        </w:rPr>
        <w:t>巴彦淖尔市住房和城乡建设局所属全额拨款的公益一类事业单位。主要负责全市房地产市场监测分析，房屋交易监管、物业服务技术指导等</w:t>
      </w:r>
      <w:r>
        <w:rPr>
          <w:rFonts w:hint="eastAsia" w:ascii="Times New Roman" w:hAnsi="Times New Roman" w:cs="Times New Roman"/>
          <w:sz w:val="32"/>
          <w:szCs w:val="32"/>
          <w:u w:val="none"/>
          <w:lang w:val="en-US" w:eastAsia="zh-CN"/>
        </w:rPr>
        <w:t>工作</w:t>
      </w:r>
      <w:r>
        <w:rPr>
          <w:rFonts w:hint="default" w:ascii="Times New Roman" w:hAnsi="Times New Roman" w:eastAsia="仿宋_GB2312" w:cs="Times New Roman"/>
          <w:sz w:val="32"/>
          <w:szCs w:val="32"/>
          <w:u w:val="none"/>
        </w:rPr>
        <w:t>。</w:t>
      </w:r>
    </w:p>
    <w:p w14:paraId="73D354D7">
      <w:pPr>
        <w:keepNext w:val="0"/>
        <w:keepLines w:val="0"/>
        <w:pageBreakBefore w:val="0"/>
        <w:kinsoku/>
        <w:wordWrap/>
        <w:overflowPunct/>
        <w:topLinePunct w:val="0"/>
        <w:autoSpaceDE/>
        <w:autoSpaceDN/>
        <w:bidi w:val="0"/>
        <w:snapToGrid w:val="0"/>
        <w:spacing w:line="560" w:lineRule="exact"/>
        <w:ind w:left="0" w:leftChars="0" w:firstLine="643" w:firstLineChars="200"/>
        <w:jc w:val="both"/>
        <w:textAlignment w:val="auto"/>
        <w:outlineLvl w:val="2"/>
        <w:rPr>
          <w:rFonts w:hint="default" w:ascii="Times New Roman" w:hAnsi="Times New Roman" w:eastAsia="楷体_GB2312" w:cs="Times New Roman"/>
          <w:b/>
          <w:bCs/>
          <w:sz w:val="32"/>
          <w:szCs w:val="32"/>
          <w:u w:val="none"/>
        </w:rPr>
      </w:pPr>
      <w:r>
        <w:rPr>
          <w:rFonts w:hint="default" w:ascii="Times New Roman" w:hAnsi="Times New Roman" w:eastAsia="楷体_GB2312" w:cs="Times New Roman"/>
          <w:b/>
          <w:bCs/>
          <w:sz w:val="32"/>
          <w:szCs w:val="32"/>
          <w:u w:val="none"/>
        </w:rPr>
        <w:t>（二）</w:t>
      </w:r>
      <w:r>
        <w:rPr>
          <w:rFonts w:hint="default" w:ascii="Times New Roman" w:hAnsi="Times New Roman" w:eastAsia="楷体_GB2312" w:cs="Times New Roman"/>
          <w:b/>
          <w:bCs/>
          <w:sz w:val="32"/>
          <w:szCs w:val="32"/>
          <w:u w:val="none"/>
          <w:lang w:val="en-US" w:eastAsia="zh-CN"/>
        </w:rPr>
        <w:t>单位</w:t>
      </w:r>
      <w:r>
        <w:rPr>
          <w:rFonts w:hint="default" w:ascii="Times New Roman" w:hAnsi="Times New Roman" w:eastAsia="楷体_GB2312" w:cs="Times New Roman"/>
          <w:b/>
          <w:bCs/>
          <w:sz w:val="32"/>
          <w:szCs w:val="32"/>
          <w:u w:val="none"/>
        </w:rPr>
        <w:t>主要职责</w:t>
      </w:r>
    </w:p>
    <w:p w14:paraId="56333EFD">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1、承担全市房地产市场监测和调控分析并提出调控政策建议。</w:t>
      </w:r>
    </w:p>
    <w:p w14:paraId="33174732">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2、承担临河地区房屋交易合同备案，商品房预售许可、房屋交易资金监管的辅助性工作。</w:t>
      </w:r>
    </w:p>
    <w:p w14:paraId="27B2372B">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3、承担临河地区房屋面积测绘成果备案工作</w:t>
      </w:r>
      <w:r>
        <w:rPr>
          <w:rFonts w:hint="eastAsia" w:ascii="仿宋_GB2312" w:hAnsi="仿宋_GB2312" w:eastAsia="仿宋_GB2312" w:cs="仿宋_GB2312"/>
          <w:sz w:val="32"/>
          <w:szCs w:val="32"/>
          <w:u w:val="none"/>
          <w:lang w:eastAsia="zh-CN"/>
        </w:rPr>
        <w:t>。</w:t>
      </w:r>
    </w:p>
    <w:p w14:paraId="2569A0F9">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4、承担新建商品房、存量房楼盘表建立以及房屋交易价格信息发布等工作</w:t>
      </w:r>
      <w:r>
        <w:rPr>
          <w:rFonts w:hint="eastAsia" w:ascii="仿宋_GB2312" w:hAnsi="仿宋_GB2312" w:eastAsia="仿宋_GB2312" w:cs="仿宋_GB2312"/>
          <w:sz w:val="32"/>
          <w:szCs w:val="32"/>
          <w:u w:val="none"/>
          <w:lang w:eastAsia="zh-CN"/>
        </w:rPr>
        <w:t>。</w:t>
      </w:r>
    </w:p>
    <w:p w14:paraId="43EF6093">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协助主管部门开展全市物业服务的业务指导工作</w:t>
      </w:r>
      <w:r>
        <w:rPr>
          <w:rFonts w:hint="eastAsia" w:ascii="仿宋_GB2312" w:hAnsi="仿宋_GB2312" w:eastAsia="仿宋_GB2312" w:cs="仿宋_GB2312"/>
          <w:sz w:val="32"/>
          <w:szCs w:val="32"/>
          <w:u w:val="none"/>
          <w:lang w:eastAsia="zh-CN"/>
        </w:rPr>
        <w:t>。</w:t>
      </w:r>
    </w:p>
    <w:p w14:paraId="5F30FE7D">
      <w:pPr>
        <w:pStyle w:val="33"/>
        <w:keepNext w:val="0"/>
        <w:keepLines w:val="0"/>
        <w:pageBreakBefore w:val="0"/>
        <w:widowControl/>
        <w:kinsoku/>
        <w:wordWrap/>
        <w:overflowPunct/>
        <w:topLinePunct w:val="0"/>
        <w:autoSpaceDE/>
        <w:autoSpaceDN/>
        <w:bidi w:val="0"/>
        <w:adjustRightInd/>
        <w:spacing w:before="240" w:after="240" w:line="560" w:lineRule="exact"/>
        <w:ind w:firstLine="643"/>
        <w:jc w:val="left"/>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完成市住房和城乡建设局交办的其他工作任务。</w:t>
      </w:r>
    </w:p>
    <w:p w14:paraId="5248949D">
      <w:pPr>
        <w:pStyle w:val="33"/>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二、单位机构设置及决算单位构成情况</w:t>
      </w:r>
    </w:p>
    <w:p w14:paraId="591BBBCB">
      <w:pPr>
        <w:keepNext w:val="0"/>
        <w:keepLines w:val="0"/>
        <w:pageBreakBefore w:val="0"/>
        <w:widowControl w:val="0"/>
        <w:tabs>
          <w:tab w:val="left" w:pos="1151"/>
        </w:tabs>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w:t>
      </w:r>
      <w:r>
        <w:rPr>
          <w:rFonts w:hint="eastAsia" w:ascii="仿宋_GB2312" w:hAnsi="仿宋_GB2312" w:eastAsia="仿宋_GB2312" w:cs="仿宋_GB2312"/>
          <w:kern w:val="2"/>
          <w:sz w:val="32"/>
          <w:szCs w:val="32"/>
          <w:u w:val="none"/>
          <w:lang w:eastAsia="zh-CN"/>
        </w:rPr>
        <w:t>根据单位职责分工，本单位内设机构包括</w:t>
      </w:r>
      <w:r>
        <w:rPr>
          <w:rFonts w:hint="eastAsia" w:ascii="仿宋_GB2312" w:hAnsi="仿宋_GB2312" w:eastAsia="仿宋_GB2312" w:cs="仿宋_GB2312"/>
          <w:color w:val="auto"/>
          <w:sz w:val="32"/>
          <w:szCs w:val="32"/>
          <w:u w:val="none"/>
          <w:lang w:val="en-US" w:eastAsia="zh-CN"/>
        </w:rPr>
        <w:t>综合科、房产档案科、房地产交易资金服务科、房产测绘科、物业服务科、房产信息科、房地产市场服务科七个科室</w:t>
      </w:r>
      <w:r>
        <w:rPr>
          <w:rFonts w:hint="eastAsia" w:ascii="仿宋_GB2312" w:hAnsi="仿宋_GB2312" w:eastAsia="仿宋_GB2312" w:cs="仿宋_GB2312"/>
          <w:kern w:val="2"/>
          <w:sz w:val="32"/>
          <w:szCs w:val="32"/>
          <w:u w:val="none"/>
          <w:lang w:eastAsia="zh-CN"/>
        </w:rPr>
        <w:t>。本单位</w:t>
      </w:r>
      <w:r>
        <w:rPr>
          <w:rFonts w:hint="eastAsia" w:ascii="仿宋_GB2312" w:hAnsi="仿宋_GB2312" w:eastAsia="仿宋_GB2312" w:cs="仿宋_GB2312"/>
          <w:kern w:val="2"/>
          <w:sz w:val="32"/>
          <w:szCs w:val="32"/>
          <w:u w:val="none"/>
          <w:lang w:val="en-US" w:eastAsia="zh-CN"/>
        </w:rPr>
        <w:t>无</w:t>
      </w:r>
      <w:r>
        <w:rPr>
          <w:rFonts w:hint="eastAsia" w:ascii="仿宋_GB2312" w:hAnsi="仿宋_GB2312" w:eastAsia="仿宋_GB2312" w:cs="仿宋_GB2312"/>
          <w:kern w:val="2"/>
          <w:sz w:val="32"/>
          <w:szCs w:val="32"/>
          <w:u w:val="none"/>
          <w:lang w:eastAsia="zh-CN"/>
        </w:rPr>
        <w:t>下属单位。</w:t>
      </w:r>
    </w:p>
    <w:p w14:paraId="4592DECD">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2.从决算单位构成看，纳入本单位决算编制范围的预算单位共计</w:t>
      </w: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rPr>
        <w:t>家，具体包括：</w:t>
      </w:r>
      <w:r>
        <w:rPr>
          <w:rFonts w:hint="eastAsia" w:ascii="仿宋_GB2312" w:hAnsi="仿宋_GB2312" w:eastAsia="仿宋_GB2312" w:cs="仿宋_GB2312"/>
          <w:kern w:val="2"/>
          <w:sz w:val="32"/>
          <w:szCs w:val="32"/>
          <w:lang w:eastAsia="zh-CN"/>
        </w:rPr>
        <w:t>巴彦淖尔市房屋产权交易中心</w:t>
      </w:r>
      <w:r>
        <w:rPr>
          <w:rFonts w:hint="eastAsia" w:ascii="仿宋_GB2312" w:hAnsi="仿宋_GB2312" w:eastAsia="仿宋_GB2312" w:cs="仿宋_GB2312"/>
          <w:kern w:val="2"/>
          <w:sz w:val="32"/>
          <w:szCs w:val="32"/>
        </w:rPr>
        <w:t>。详细情况见表：</w:t>
      </w:r>
    </w:p>
    <w:tbl>
      <w:tblPr>
        <w:tblStyle w:val="2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4542"/>
        <w:gridCol w:w="3021"/>
      </w:tblGrid>
      <w:tr w14:paraId="295BA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959" w:type="dxa"/>
            <w:tcBorders>
              <w:top w:val="single" w:color="auto" w:sz="6" w:space="0"/>
              <w:left w:val="single" w:color="auto" w:sz="6" w:space="0"/>
              <w:bottom w:val="single" w:color="auto" w:sz="6" w:space="0"/>
              <w:right w:val="single" w:color="auto" w:sz="6" w:space="0"/>
            </w:tcBorders>
            <w:noWrap w:val="0"/>
            <w:vAlign w:val="top"/>
          </w:tcPr>
          <w:p w14:paraId="52DE06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序号</w:t>
            </w:r>
          </w:p>
        </w:tc>
        <w:tc>
          <w:tcPr>
            <w:tcW w:w="4542" w:type="dxa"/>
            <w:tcBorders>
              <w:top w:val="single" w:color="auto" w:sz="6" w:space="0"/>
              <w:left w:val="single" w:color="auto" w:sz="6" w:space="0"/>
              <w:bottom w:val="single" w:color="auto" w:sz="6" w:space="0"/>
              <w:right w:val="single" w:color="auto" w:sz="6" w:space="0"/>
            </w:tcBorders>
            <w:noWrap w:val="0"/>
            <w:vAlign w:val="top"/>
          </w:tcPr>
          <w:p w14:paraId="0747044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单位名称</w:t>
            </w:r>
          </w:p>
        </w:tc>
        <w:tc>
          <w:tcPr>
            <w:tcW w:w="3021" w:type="dxa"/>
            <w:tcBorders>
              <w:top w:val="single" w:color="auto" w:sz="6" w:space="0"/>
              <w:left w:val="single" w:color="auto" w:sz="6" w:space="0"/>
              <w:bottom w:val="single" w:color="auto" w:sz="6" w:space="0"/>
              <w:right w:val="single" w:color="auto" w:sz="6" w:space="0"/>
            </w:tcBorders>
            <w:noWrap w:val="0"/>
            <w:vAlign w:val="top"/>
          </w:tcPr>
          <w:p w14:paraId="129104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单位性质</w:t>
            </w:r>
          </w:p>
        </w:tc>
      </w:tr>
      <w:tr w14:paraId="686695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085B1A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1</w:t>
            </w:r>
          </w:p>
        </w:tc>
        <w:tc>
          <w:tcPr>
            <w:tcW w:w="4542" w:type="dxa"/>
            <w:tcBorders>
              <w:top w:val="single" w:color="auto" w:sz="6" w:space="0"/>
              <w:left w:val="single" w:color="auto" w:sz="6" w:space="0"/>
              <w:bottom w:val="single" w:color="auto" w:sz="6" w:space="0"/>
              <w:right w:val="single" w:color="auto" w:sz="6" w:space="0"/>
            </w:tcBorders>
            <w:noWrap w:val="0"/>
            <w:vAlign w:val="top"/>
          </w:tcPr>
          <w:p w14:paraId="5E90E1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kern w:val="2"/>
                <w:sz w:val="32"/>
                <w:szCs w:val="32"/>
                <w:lang w:eastAsia="zh-CN"/>
              </w:rPr>
              <w:t>巴彦淖尔市房屋产权交易中心</w:t>
            </w:r>
          </w:p>
        </w:tc>
        <w:tc>
          <w:tcPr>
            <w:tcW w:w="3021" w:type="dxa"/>
            <w:tcBorders>
              <w:top w:val="single" w:color="auto" w:sz="6" w:space="0"/>
              <w:left w:val="single" w:color="auto" w:sz="6" w:space="0"/>
              <w:bottom w:val="single" w:color="auto" w:sz="6" w:space="0"/>
              <w:right w:val="single" w:color="auto" w:sz="6" w:space="0"/>
            </w:tcBorders>
            <w:noWrap w:val="0"/>
            <w:vAlign w:val="top"/>
          </w:tcPr>
          <w:p w14:paraId="768C2B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公益一类事业单位</w:t>
            </w:r>
          </w:p>
        </w:tc>
      </w:tr>
    </w:tbl>
    <w:p w14:paraId="2BC78722">
      <w:pPr>
        <w:pStyle w:val="33"/>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年度单位主要工作完成情况</w:t>
      </w:r>
    </w:p>
    <w:p w14:paraId="47330D9D">
      <w:pPr>
        <w:pStyle w:val="31"/>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rPr>
          <w:rFonts w:hint="eastAsia" w:ascii="CESI黑体-GB2312" w:hAnsi="CESI黑体-GB2312" w:eastAsia="CESI黑体-GB2312" w:cs="CESI黑体-GB2312"/>
          <w:b w:val="0"/>
          <w:bCs w:val="0"/>
          <w:color w:val="auto"/>
          <w:sz w:val="32"/>
          <w:szCs w:val="32"/>
        </w:rPr>
      </w:pPr>
      <w:r>
        <w:rPr>
          <w:rFonts w:hint="eastAsia" w:ascii="CESI黑体-GB2312" w:hAnsi="CESI黑体-GB2312" w:eastAsia="CESI黑体-GB2312" w:cs="CESI黑体-GB2312"/>
          <w:b w:val="0"/>
          <w:bCs w:val="0"/>
          <w:color w:val="auto"/>
          <w:sz w:val="32"/>
          <w:szCs w:val="32"/>
          <w:lang w:eastAsia="zh-CN"/>
        </w:rPr>
        <w:t>（一）</w:t>
      </w:r>
      <w:r>
        <w:rPr>
          <w:rFonts w:hint="eastAsia" w:ascii="CESI黑体-GB2312" w:hAnsi="CESI黑体-GB2312" w:eastAsia="CESI黑体-GB2312" w:cs="CESI黑体-GB2312"/>
          <w:b w:val="0"/>
          <w:bCs w:val="0"/>
          <w:color w:val="auto"/>
          <w:sz w:val="32"/>
          <w:szCs w:val="32"/>
        </w:rPr>
        <w:t>党建工作情况</w:t>
      </w:r>
    </w:p>
    <w:p w14:paraId="34A670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黑体" w:hAnsi="黑体" w:eastAsia="黑体" w:cs="黑体"/>
          <w:color w:val="auto"/>
          <w:sz w:val="32"/>
          <w:szCs w:val="32"/>
          <w:lang w:val="en-US" w:eastAsia="zh-CN"/>
        </w:rPr>
        <w:t>1、强化理论武装，筑牢思想根基。</w:t>
      </w:r>
      <w:r>
        <w:rPr>
          <w:rFonts w:hint="eastAsia" w:ascii="仿宋_GB2312" w:hAnsi="仿宋_GB2312" w:eastAsia="仿宋_GB2312" w:cs="仿宋_GB2312"/>
          <w:color w:val="auto"/>
          <w:sz w:val="32"/>
          <w:szCs w:val="32"/>
          <w:highlight w:val="none"/>
          <w:shd w:val="clear" w:color="auto" w:fill="auto"/>
          <w:lang w:val="en-US" w:eastAsia="zh-CN"/>
        </w:rPr>
        <w:t>始终将党的创新理论学习作为政治建设的核心抓手，严格落实“第一议题”制度，持续深学细悟习近平新时代中国特色社会主义思想和党的二十届四中全会精神，精准贯彻落实习近平总书记关于住建领域的重要指示批示精神，不折不扣推动各项工作部署落地见效。以“三会一课”为根基，依托集中学习、青年理论学习等常态化载体，累计组织集中学习39次、保密知识专题学习5次、青年理论学习5次，实现干部职工理论学习全覆盖、无盲区。</w:t>
      </w:r>
    </w:p>
    <w:p w14:paraId="22C077DF">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eastAsia" w:ascii="黑体" w:hAnsi="黑体" w:eastAsia="黑体" w:cs="黑体"/>
          <w:color w:val="auto"/>
          <w:kern w:val="0"/>
          <w:sz w:val="32"/>
          <w:szCs w:val="32"/>
          <w:highlight w:val="none"/>
          <w:shd w:val="clear" w:color="auto" w:fill="auto"/>
          <w:lang w:val="en-US" w:eastAsia="zh-CN"/>
        </w:rPr>
        <w:t>2、聚焦作风建设，持续深化中央八项规定精神落实。</w:t>
      </w:r>
      <w:r>
        <w:rPr>
          <w:rFonts w:hint="eastAsia" w:ascii="仿宋_GB2312" w:hAnsi="仿宋_GB2312" w:eastAsia="仿宋_GB2312" w:cs="仿宋_GB2312"/>
          <w:color w:val="auto"/>
          <w:sz w:val="32"/>
          <w:szCs w:val="32"/>
          <w:highlight w:val="none"/>
          <w:shd w:val="clear" w:color="auto" w:fill="auto"/>
          <w:lang w:val="en-US" w:eastAsia="zh-CN"/>
        </w:rPr>
        <w:t>中心始终将深入贯彻中央八项规定精神学习教育作为重点工作，精心制定详细学习计划表，明确各阶段目标任务，召开专题会议统筹部署、层层压实责任。为全体党员干部配发《习近平关于加强党的作风建设论述摘编》，针对性为青年党员、退休党员定制学习资料，实现学习教育全覆盖无死角。构建“领导带头学、支部集中学”的学习体系，累计开展17次集中学习、5次专题研讨，支部书记讲授2次作风建设专题党课，推动学用深度融合；青年理论学习小组主动作为，开展4次专题学习、2次研讨交流，激发青年干部作风建设行动自觉。开展2次谈心谈话，精准掌握干部职工思想动态，筑牢思想根基；组织观看3次警示教育片、通报6次典型案例，以案说纪、以案明戒，营造风清气正的良好氛围。坚持问题导向靶向发力，组织干部立足岗位，围绕《违反中央八项规定及其实施细则问题清单》28个问题表现、《隐形变异的作风问题清单》10种表现、《集中整治违规吃喝的通知》7个重点整治任务等方面查找自身问题，共梳理出112个问题，逐一形成问题清单并制定整改措施。坚持开门纳谏听民意、健全机制促长效，持续夯实廉政建设根基，推动作风建设常态长效。</w:t>
      </w:r>
    </w:p>
    <w:p w14:paraId="08201429">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黑体" w:hAnsi="黑体" w:eastAsia="黑体" w:cs="黑体"/>
          <w:color w:val="auto"/>
          <w:sz w:val="32"/>
          <w:szCs w:val="32"/>
          <w:highlight w:val="none"/>
          <w:shd w:val="clear" w:color="auto" w:fill="auto"/>
          <w:lang w:val="en-US" w:eastAsia="zh-CN"/>
        </w:rPr>
        <w:t>3、</w:t>
      </w:r>
      <w:r>
        <w:rPr>
          <w:rFonts w:hint="eastAsia" w:ascii="黑体" w:hAnsi="黑体" w:eastAsia="黑体" w:cs="黑体"/>
          <w:color w:val="auto"/>
          <w:sz w:val="32"/>
          <w:szCs w:val="32"/>
          <w:highlight w:val="none"/>
          <w:shd w:val="clear" w:color="auto" w:fill="auto"/>
          <w:lang w:eastAsia="zh-CN"/>
        </w:rPr>
        <w:t>夯实组织基础，提升党建质效。</w:t>
      </w:r>
      <w:r>
        <w:rPr>
          <w:rFonts w:hint="eastAsia" w:ascii="仿宋_GB2312" w:hAnsi="仿宋_GB2312" w:eastAsia="仿宋_GB2312" w:cs="仿宋_GB2312"/>
          <w:color w:val="auto"/>
          <w:sz w:val="32"/>
          <w:szCs w:val="32"/>
          <w:highlight w:val="none"/>
          <w:shd w:val="clear" w:color="auto" w:fill="auto"/>
          <w:lang w:val="en-US" w:eastAsia="zh-CN"/>
        </w:rPr>
        <w:t>严格执行组织生活制度，规范开展“三会一课”、民主评议党员等党内活动，完成2024年度党支部书记述职评议、组织生活会及民主评议党员工作。推进党组织设置调整，选举产生新一届党支部委员会，按时完成党费核定及报送，持续推进党支部标准化规范化建设。组织召开党员大会6次、支委会学习15次，切实增强党内政治生活实效。坚持每半年专题研究中心党风廉政建设、意识形态、法治政府建设、诚信体系建设、铸牢中华民族共同体意识等重点工作，按季度研究细化党建工作具体安排，通过常态化、规范化的工作机制，充分发挥党建引领作用。参加“七一”系列文体活动并承办住建系统庆“七一”党建知识竞赛，进一步激发党组织活力。深入推进自治区坚强堡垒“模范”支部创建工作，对照“基础星”“特色星”创建指标逐项复盘支部现有工作基础，聚焦组织建设强化、服务效能提升等核心任务，推动党支部各项工作再上新台阶。</w:t>
      </w:r>
    </w:p>
    <w:p w14:paraId="65E255C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CESI黑体-GB2312" w:hAnsi="CESI黑体-GB2312" w:eastAsia="CESI黑体-GB2312" w:cs="CESI黑体-GB2312"/>
          <w:color w:val="auto"/>
          <w:sz w:val="32"/>
          <w:szCs w:val="32"/>
          <w:highlight w:val="none"/>
          <w:shd w:val="clear" w:color="auto" w:fill="auto"/>
          <w:lang w:val="en-US" w:eastAsia="zh-CN"/>
        </w:rPr>
        <w:t>4、开展志愿服务，筑牢文明实践阵地。</w:t>
      </w:r>
      <w:r>
        <w:rPr>
          <w:rFonts w:hint="eastAsia" w:ascii="仿宋_GB2312" w:hAnsi="仿宋_GB2312" w:eastAsia="仿宋_GB2312" w:cs="仿宋_GB2312"/>
          <w:color w:val="auto"/>
          <w:sz w:val="32"/>
          <w:szCs w:val="32"/>
          <w:highlight w:val="none"/>
          <w:shd w:val="clear" w:color="auto" w:fill="auto"/>
          <w:lang w:val="en-US" w:eastAsia="zh-CN"/>
        </w:rPr>
        <w:t>组织全体党员干部到包联社区，开展“党建领航聚合力 志愿春风暖民心”志愿服务活动，认领新光社区民生实事，组织填写党员公开承诺践诺书，结合中心业务，为群众办实事，切实发挥党建引领作用，凝聚服务合力。</w:t>
      </w:r>
      <w:r>
        <w:rPr>
          <w:rFonts w:hint="eastAsia" w:ascii="仿宋_GB2312" w:hAnsi="仿宋_GB2312" w:eastAsia="仿宋_GB2312" w:cs="仿宋_GB2312"/>
          <w:color w:val="auto"/>
          <w:sz w:val="32"/>
          <w:szCs w:val="32"/>
          <w:highlight w:val="none"/>
          <w:lang w:val="en-US" w:eastAsia="zh-CN"/>
        </w:rPr>
        <w:t>以党建为引领深化政务服务融合，推动服务模式从“窗口端”向群众“家门口”延伸，组织党员先锋队为行动不便群众提供上门服务，以“党建红”赋能“服务暖”，让政务服务更具温度。秉持“群众未走、服务不停”理念，党员先锋队主动延伸服务链条，推行业务办理延时服务，针对下班前未办结业务、紧急办事需求等情况灵活延长服务时间，切实破解群众“上班没空办、下班没处办”的痛点问题。</w:t>
      </w:r>
    </w:p>
    <w:p w14:paraId="15F04F7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shd w:val="clear" w:color="auto" w:fill="auto"/>
          <w:lang w:val="en-US" w:eastAsia="zh-CN"/>
        </w:rPr>
      </w:pPr>
      <w:r>
        <w:rPr>
          <w:rFonts w:hint="eastAsia" w:ascii="CESI黑体-GB2312" w:hAnsi="CESI黑体-GB2312" w:eastAsia="CESI黑体-GB2312" w:cs="CESI黑体-GB2312"/>
          <w:color w:val="auto"/>
          <w:sz w:val="32"/>
          <w:szCs w:val="32"/>
          <w:highlight w:val="none"/>
          <w:shd w:val="clear" w:color="auto" w:fill="auto"/>
          <w:lang w:val="en-US" w:eastAsia="zh-CN"/>
        </w:rPr>
        <w:t>5、严守党的纪律，夯实廉政工作根基。</w:t>
      </w:r>
      <w:r>
        <w:rPr>
          <w:rFonts w:hint="default" w:ascii="仿宋_GB2312" w:hAnsi="仿宋_GB2312" w:eastAsia="仿宋_GB2312" w:cs="仿宋_GB2312"/>
          <w:color w:val="auto"/>
          <w:sz w:val="32"/>
          <w:szCs w:val="32"/>
          <w:highlight w:val="none"/>
          <w:shd w:val="clear" w:color="auto" w:fill="auto"/>
          <w:lang w:val="en-US" w:eastAsia="zh-CN"/>
        </w:rPr>
        <w:t>压实党风廉政建设责任，</w:t>
      </w:r>
      <w:r>
        <w:rPr>
          <w:rFonts w:hint="default" w:ascii="仿宋_GB2312" w:hAnsi="仿宋_GB2312" w:eastAsia="仿宋_GB2312" w:cs="仿宋_GB2312"/>
          <w:color w:val="auto"/>
          <w:sz w:val="32"/>
          <w:szCs w:val="32"/>
          <w:highlight w:val="none"/>
          <w:u w:val="none"/>
          <w:lang w:val="en-US" w:eastAsia="zh-CN"/>
        </w:rPr>
        <w:t>聚焦重点岗位、关键环节，全面梳理权力运行中的廉政风险隐患</w:t>
      </w:r>
      <w:r>
        <w:rPr>
          <w:rFonts w:hint="eastAsia" w:ascii="仿宋_GB2312" w:hAnsi="仿宋_GB2312" w:eastAsia="仿宋_GB2312" w:cs="仿宋_GB2312"/>
          <w:color w:val="auto"/>
          <w:sz w:val="32"/>
          <w:szCs w:val="32"/>
          <w:highlight w:val="none"/>
          <w:u w:val="none"/>
          <w:lang w:val="en-US" w:eastAsia="zh-CN"/>
        </w:rPr>
        <w:t>，</w:t>
      </w:r>
      <w:r>
        <w:rPr>
          <w:rFonts w:hint="default" w:ascii="仿宋_GB2312" w:hAnsi="仿宋_GB2312" w:eastAsia="仿宋_GB2312" w:cs="仿宋_GB2312"/>
          <w:color w:val="auto"/>
          <w:sz w:val="32"/>
          <w:szCs w:val="32"/>
          <w:highlight w:val="none"/>
          <w:shd w:val="clear" w:color="auto" w:fill="auto"/>
          <w:lang w:val="en-US" w:eastAsia="zh-CN"/>
        </w:rPr>
        <w:t>印发相关责任清单与工作要点，定期分析研判廉政建设形势</w:t>
      </w:r>
      <w:r>
        <w:rPr>
          <w:rFonts w:hint="eastAsia" w:ascii="仿宋_GB2312" w:hAnsi="仿宋_GB2312" w:eastAsia="仿宋_GB2312" w:cs="仿宋_GB2312"/>
          <w:color w:val="auto"/>
          <w:sz w:val="32"/>
          <w:szCs w:val="32"/>
          <w:highlight w:val="none"/>
          <w:shd w:val="clear" w:color="auto" w:fill="auto"/>
          <w:lang w:val="en-US" w:eastAsia="zh-CN"/>
        </w:rPr>
        <w:t>，</w:t>
      </w:r>
      <w:r>
        <w:rPr>
          <w:rFonts w:hint="default" w:ascii="仿宋_GB2312" w:hAnsi="仿宋_GB2312" w:eastAsia="仿宋_GB2312" w:cs="仿宋_GB2312"/>
          <w:color w:val="auto"/>
          <w:sz w:val="32"/>
          <w:szCs w:val="32"/>
          <w:highlight w:val="none"/>
          <w:u w:val="none"/>
          <w:lang w:val="en-US" w:eastAsia="zh-CN"/>
        </w:rPr>
        <w:t>推动廉政风险防控与业务工作深度融合，从源头上防范廉政风险。</w:t>
      </w:r>
      <w:r>
        <w:rPr>
          <w:rFonts w:hint="eastAsia" w:ascii="仿宋_GB2312" w:hAnsi="仿宋_GB2312" w:eastAsia="仿宋_GB2312" w:cs="仿宋_GB2312"/>
          <w:color w:val="auto"/>
          <w:sz w:val="32"/>
          <w:szCs w:val="32"/>
          <w:highlight w:val="none"/>
          <w:shd w:val="clear" w:color="auto" w:fill="auto"/>
          <w:lang w:val="en-US" w:eastAsia="zh-CN"/>
        </w:rPr>
        <w:t>通过丰富多样的廉政教育形式，推动纪律教育走深走实，</w:t>
      </w:r>
      <w:r>
        <w:rPr>
          <w:rFonts w:hint="default" w:ascii="仿宋_GB2312" w:hAnsi="仿宋_GB2312" w:eastAsia="仿宋_GB2312" w:cs="仿宋_GB2312"/>
          <w:color w:val="auto"/>
          <w:sz w:val="32"/>
          <w:szCs w:val="32"/>
          <w:highlight w:val="none"/>
          <w:shd w:val="clear" w:color="auto" w:fill="auto"/>
          <w:lang w:val="en-US" w:eastAsia="zh-CN"/>
        </w:rPr>
        <w:t>精准开展分层分类教育，组织关键岗位人员集中观看廉政直播课程，针对新入职人员开展廉政集体谈话，强化重点人群纪律意识；带领全体党员干部职工走进巴彦淖尔市全面从严治党警示教育基地、美术馆、档案馆</w:t>
      </w:r>
      <w:r>
        <w:rPr>
          <w:rFonts w:hint="eastAsia" w:ascii="仿宋_GB2312" w:hAnsi="仿宋_GB2312" w:eastAsia="仿宋_GB2312" w:cs="仿宋_GB2312"/>
          <w:color w:val="auto"/>
          <w:sz w:val="32"/>
          <w:szCs w:val="32"/>
          <w:highlight w:val="none"/>
          <w:shd w:val="clear" w:color="auto" w:fill="auto"/>
          <w:lang w:val="en-US" w:eastAsia="zh-CN"/>
        </w:rPr>
        <w:t>，</w:t>
      </w:r>
      <w:r>
        <w:rPr>
          <w:rFonts w:hint="default" w:ascii="仿宋_GB2312" w:hAnsi="仿宋_GB2312" w:eastAsia="仿宋_GB2312" w:cs="仿宋_GB2312"/>
          <w:color w:val="auto"/>
          <w:sz w:val="32"/>
          <w:szCs w:val="32"/>
          <w:highlight w:val="none"/>
          <w:shd w:val="clear" w:color="auto" w:fill="auto"/>
          <w:lang w:val="en-US" w:eastAsia="zh-CN"/>
        </w:rPr>
        <w:t>以沉浸式教育锤炼党性修养、凝聚奋进力量。</w:t>
      </w:r>
      <w:r>
        <w:rPr>
          <w:rFonts w:hint="eastAsia" w:ascii="仿宋_GB2312" w:hAnsi="仿宋_GB2312" w:eastAsia="仿宋_GB2312" w:cs="仿宋_GB2312"/>
          <w:color w:val="auto"/>
          <w:sz w:val="32"/>
          <w:szCs w:val="32"/>
          <w:highlight w:val="none"/>
          <w:shd w:val="clear" w:color="auto" w:fill="auto"/>
          <w:lang w:val="en-US" w:eastAsia="zh-CN"/>
        </w:rPr>
        <w:t>紧盯关键节点，在节假日及重要时段常态化开展廉政提醒，推动廉政教育融入日常、抓在经常</w:t>
      </w:r>
      <w:r>
        <w:rPr>
          <w:rFonts w:hint="default" w:ascii="仿宋_GB2312" w:hAnsi="仿宋_GB2312" w:eastAsia="仿宋_GB2312" w:cs="仿宋_GB2312"/>
          <w:color w:val="auto"/>
          <w:sz w:val="32"/>
          <w:szCs w:val="32"/>
          <w:highlight w:val="none"/>
          <w:shd w:val="clear" w:color="auto" w:fill="auto"/>
          <w:lang w:val="en-US" w:eastAsia="zh-CN"/>
        </w:rPr>
        <w:t>，引导党员干部转作风、勇担当、促发展。</w:t>
      </w:r>
    </w:p>
    <w:p w14:paraId="50ED90D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CESI黑体-GB2312" w:hAnsi="CESI黑体-GB2312" w:eastAsia="CESI黑体-GB2312" w:cs="CESI黑体-GB2312"/>
          <w:b w:val="0"/>
          <w:bCs w:val="0"/>
          <w:color w:val="auto"/>
          <w:sz w:val="32"/>
          <w:szCs w:val="32"/>
          <w:shd w:val="clear" w:color="auto" w:fill="FFFFFF"/>
        </w:rPr>
      </w:pPr>
      <w:r>
        <w:rPr>
          <w:rFonts w:hint="eastAsia" w:ascii="CESI黑体-GB2312" w:hAnsi="CESI黑体-GB2312" w:eastAsia="CESI黑体-GB2312" w:cs="CESI黑体-GB2312"/>
          <w:b w:val="0"/>
          <w:bCs w:val="0"/>
          <w:color w:val="auto"/>
          <w:sz w:val="32"/>
          <w:szCs w:val="32"/>
          <w:lang w:val="en-US" w:eastAsia="zh-CN"/>
        </w:rPr>
        <w:t>(</w:t>
      </w:r>
      <w:r>
        <w:rPr>
          <w:rFonts w:hint="eastAsia" w:ascii="CESI黑体-GB2312" w:hAnsi="CESI黑体-GB2312" w:eastAsia="CESI黑体-GB2312" w:cs="CESI黑体-GB2312"/>
          <w:b w:val="0"/>
          <w:bCs w:val="0"/>
          <w:color w:val="auto"/>
          <w:sz w:val="32"/>
          <w:szCs w:val="32"/>
        </w:rPr>
        <w:t>二</w:t>
      </w:r>
      <w:r>
        <w:rPr>
          <w:rFonts w:hint="eastAsia" w:ascii="CESI黑体-GB2312" w:hAnsi="CESI黑体-GB2312" w:eastAsia="CESI黑体-GB2312" w:cs="CESI黑体-GB2312"/>
          <w:b w:val="0"/>
          <w:bCs w:val="0"/>
          <w:color w:val="auto"/>
          <w:sz w:val="32"/>
          <w:szCs w:val="32"/>
          <w:lang w:val="en-US" w:eastAsia="zh-CN"/>
        </w:rPr>
        <w:t>)</w:t>
      </w:r>
      <w:r>
        <w:rPr>
          <w:rFonts w:hint="eastAsia" w:ascii="CESI黑体-GB2312" w:hAnsi="CESI黑体-GB2312" w:eastAsia="CESI黑体-GB2312" w:cs="CESI黑体-GB2312"/>
          <w:b w:val="0"/>
          <w:bCs w:val="0"/>
          <w:color w:val="auto"/>
          <w:sz w:val="32"/>
          <w:szCs w:val="32"/>
        </w:rPr>
        <w:t>业务工作情况</w:t>
      </w:r>
    </w:p>
    <w:p w14:paraId="59CA4F4B">
      <w:pPr>
        <w:keepNext w:val="0"/>
        <w:keepLines w:val="0"/>
        <w:pageBreakBefore w:val="0"/>
        <w:widowControl w:val="0"/>
        <w:kinsoku/>
        <w:wordWrap/>
        <w:overflowPunct/>
        <w:topLinePunct w:val="0"/>
        <w:autoSpaceDE/>
        <w:autoSpaceDN/>
        <w:bidi w:val="0"/>
        <w:adjustRightInd/>
        <w:snapToGrid/>
        <w:spacing w:line="560" w:lineRule="exact"/>
        <w:ind w:firstLine="641" w:firstLineChars="200"/>
        <w:jc w:val="left"/>
        <w:textAlignment w:val="auto"/>
        <w:rPr>
          <w:rFonts w:hint="eastAsia" w:ascii="CESI楷体-GB2312" w:hAnsi="CESI楷体-GB2312" w:eastAsia="CESI楷体-GB2312" w:cs="CESI楷体-GB2312"/>
          <w:b/>
          <w:bCs/>
          <w:color w:val="auto"/>
          <w:sz w:val="32"/>
          <w:szCs w:val="32"/>
        </w:rPr>
      </w:pPr>
      <w:r>
        <w:rPr>
          <w:rFonts w:hint="eastAsia" w:ascii="CESI楷体-GB2312" w:hAnsi="CESI楷体-GB2312" w:eastAsia="CESI楷体-GB2312" w:cs="CESI楷体-GB2312"/>
          <w:b/>
          <w:bCs/>
          <w:color w:val="auto"/>
          <w:sz w:val="32"/>
          <w:szCs w:val="32"/>
          <w:lang w:val="en-US" w:eastAsia="zh-CN"/>
        </w:rPr>
        <w:t>1、</w:t>
      </w:r>
      <w:r>
        <w:rPr>
          <w:rFonts w:hint="eastAsia" w:ascii="CESI楷体-GB2312" w:hAnsi="CESI楷体-GB2312" w:eastAsia="CESI楷体-GB2312" w:cs="CESI楷体-GB2312"/>
          <w:b/>
          <w:bCs/>
          <w:color w:val="auto"/>
          <w:sz w:val="32"/>
          <w:szCs w:val="32"/>
        </w:rPr>
        <w:t>重点工作完成情况</w:t>
      </w:r>
    </w:p>
    <w:p w14:paraId="7A4E4CF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（1）协助办理新建商品房</w:t>
      </w:r>
      <w:r>
        <w:rPr>
          <w:rFonts w:hint="eastAsia" w:ascii="仿宋_GB2312" w:hAnsi="仿宋_GB2312" w:eastAsia="仿宋_GB2312" w:cs="仿宋_GB2312"/>
          <w:b/>
          <w:bCs/>
          <w:color w:val="auto"/>
          <w:sz w:val="32"/>
          <w:szCs w:val="32"/>
        </w:rPr>
        <w:t>预销售</w:t>
      </w:r>
      <w:r>
        <w:rPr>
          <w:rFonts w:hint="eastAsia" w:ascii="仿宋_GB2312" w:hAnsi="仿宋_GB2312" w:eastAsia="仿宋_GB2312" w:cs="仿宋_GB2312"/>
          <w:b/>
          <w:bCs/>
          <w:color w:val="auto"/>
          <w:sz w:val="32"/>
          <w:szCs w:val="32"/>
          <w:lang w:eastAsia="zh-CN"/>
        </w:rPr>
        <w:t>许可：</w:t>
      </w:r>
      <w:r>
        <w:rPr>
          <w:rFonts w:hint="eastAsia" w:ascii="仿宋_GB2312" w:hAnsi="仿宋_GB2312" w:eastAsia="仿宋_GB2312" w:cs="仿宋_GB2312"/>
          <w:color w:val="auto"/>
          <w:kern w:val="0"/>
          <w:sz w:val="32"/>
          <w:szCs w:val="32"/>
          <w:lang w:val="en-US" w:eastAsia="zh-CN" w:bidi="ar"/>
        </w:rPr>
        <w:t>全市商品房预销售批准3438套，同比下降53.15%，其中：住宅预销售批准3200套，同比下降45.69%。临河地区商品房预销售批准2887套，同比增长6.61%，其中：住宅预销售批准2762套，同比增长13.8%。</w:t>
      </w:r>
    </w:p>
    <w:p w14:paraId="06D0B7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（2）新建商品房网签：</w:t>
      </w:r>
      <w:r>
        <w:rPr>
          <w:rFonts w:hint="eastAsia" w:ascii="仿宋_GB2312" w:hAnsi="仿宋_GB2312" w:eastAsia="仿宋_GB2312" w:cs="仿宋_GB2312"/>
          <w:color w:val="auto"/>
          <w:kern w:val="0"/>
          <w:sz w:val="32"/>
          <w:szCs w:val="32"/>
          <w:lang w:val="en-US" w:eastAsia="zh-CN" w:bidi="ar"/>
        </w:rPr>
        <w:t>全市新建商品房网签套数7597套，同比下降13.94%，其中：住宅网签套数6301套，同比下降10.34%。临河地区商品房网签套数4204套，同比下降12.18%，其中住宅网签套数3678套，同比下降2.9%。</w:t>
      </w:r>
    </w:p>
    <w:p w14:paraId="76968C6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（3）新建商品房库存：</w:t>
      </w:r>
      <w:r>
        <w:rPr>
          <w:rFonts w:hint="eastAsia" w:ascii="仿宋_GB2312" w:hAnsi="仿宋_GB2312" w:eastAsia="仿宋_GB2312" w:cs="仿宋_GB2312"/>
          <w:color w:val="auto"/>
          <w:kern w:val="0"/>
          <w:sz w:val="32"/>
          <w:szCs w:val="32"/>
          <w:lang w:val="en-US" w:eastAsia="zh-CN" w:bidi="ar"/>
        </w:rPr>
        <w:t>全市商品房累计可网签套数45571套，其中：临河地区商品房累计可网签套数19173套。</w:t>
      </w:r>
    </w:p>
    <w:p w14:paraId="4DF8EC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（4）新建商品房网签均价：</w:t>
      </w:r>
      <w:r>
        <w:rPr>
          <w:rFonts w:hint="eastAsia" w:ascii="仿宋_GB2312" w:hAnsi="仿宋_GB2312" w:eastAsia="仿宋_GB2312" w:cs="仿宋_GB2312"/>
          <w:color w:val="auto"/>
          <w:kern w:val="0"/>
          <w:sz w:val="32"/>
          <w:szCs w:val="32"/>
          <w:lang w:val="en-US" w:eastAsia="zh-CN" w:bidi="ar"/>
        </w:rPr>
        <w:t>全市新建商品房网签均价3200.24元/平方米，同比下降3.46%，其中：住宅网签均价3081.75元/平方米，同比上升1.81%。临河地区新建商品房网签均价4757.99元/平方米，同比下降5.8%，其中：住宅网签均价4403.59元/平方米，同比下降3.09%。</w:t>
      </w:r>
    </w:p>
    <w:p w14:paraId="6C6CC2F1">
      <w:pPr>
        <w:pStyle w:val="3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3" w:firstLineChars="200"/>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房地产</w:t>
      </w:r>
      <w:r>
        <w:rPr>
          <w:rFonts w:hint="eastAsia" w:ascii="仿宋_GB2312" w:hAnsi="仿宋_GB2312" w:eastAsia="仿宋_GB2312" w:cs="仿宋_GB2312"/>
          <w:b/>
          <w:bCs/>
          <w:color w:val="auto"/>
          <w:sz w:val="32"/>
          <w:szCs w:val="32"/>
          <w:lang w:eastAsia="zh-CN"/>
        </w:rPr>
        <w:t>预售</w:t>
      </w:r>
      <w:r>
        <w:rPr>
          <w:rFonts w:hint="eastAsia" w:ascii="仿宋_GB2312" w:hAnsi="仿宋_GB2312" w:eastAsia="仿宋_GB2312" w:cs="仿宋_GB2312"/>
          <w:b/>
          <w:bCs/>
          <w:color w:val="auto"/>
          <w:sz w:val="32"/>
          <w:szCs w:val="32"/>
        </w:rPr>
        <w:t>资金监管</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b w:val="0"/>
          <w:bCs w:val="0"/>
          <w:i w:val="0"/>
          <w:caps w:val="0"/>
          <w:color w:val="auto"/>
          <w:spacing w:val="0"/>
          <w:w w:val="100"/>
          <w:sz w:val="32"/>
          <w:szCs w:val="32"/>
          <w:lang w:val="en-US" w:eastAsia="zh-CN"/>
        </w:rPr>
        <w:t>全市对42家房地产开发企业进行预售资金监管，共有商品房资金监管账户71个，受理资金拨付业务448笔。全市商品房预售资金监管总额30.13亿元，拨付资金28.7亿元，余额1.5亿元。临河区现监管预售项目34个，其中：线上线下双监管项目26个，线下监管项目3个，待上线项目5个，完成线上拨付886次，为企业款项补录63次，退款11次，纳入监管白名单房屋724套。</w:t>
      </w:r>
      <w:r>
        <w:rPr>
          <w:rFonts w:hint="eastAsia" w:ascii="仿宋_GB2312" w:hAnsi="仿宋_GB2312" w:eastAsia="仿宋_GB2312" w:cs="仿宋_GB2312"/>
          <w:b/>
          <w:bCs/>
          <w:i w:val="0"/>
          <w:caps w:val="0"/>
          <w:color w:val="auto"/>
          <w:spacing w:val="0"/>
          <w:w w:val="100"/>
          <w:kern w:val="2"/>
          <w:sz w:val="32"/>
          <w:szCs w:val="32"/>
          <w:lang w:val="en-US" w:eastAsia="zh-CN" w:bidi="ar-SA"/>
        </w:rPr>
        <w:t>二是</w:t>
      </w:r>
      <w:r>
        <w:rPr>
          <w:rFonts w:hint="eastAsia" w:ascii="仿宋_GB2312" w:hAnsi="仿宋_GB2312" w:eastAsia="仿宋_GB2312" w:cs="仿宋_GB2312"/>
          <w:b w:val="0"/>
          <w:bCs w:val="0"/>
          <w:i w:val="0"/>
          <w:caps w:val="0"/>
          <w:color w:val="auto"/>
          <w:spacing w:val="0"/>
          <w:w w:val="100"/>
          <w:kern w:val="2"/>
          <w:sz w:val="32"/>
          <w:szCs w:val="32"/>
          <w:lang w:val="en-US" w:eastAsia="zh-CN" w:bidi="ar-SA"/>
        </w:rPr>
        <w:t>按照《全区加强新建商品房预售资金监管专项整治行动方案》要求，对旗县区19家资金监管房地产企业、24个未交付房地产开发项目进行排查，共排查出问题10个，正在进行整改。</w:t>
      </w:r>
      <w:r>
        <w:rPr>
          <w:rFonts w:hint="eastAsia" w:ascii="仿宋_GB2312" w:hAnsi="仿宋_GB2312" w:eastAsia="仿宋_GB2312" w:cs="仿宋_GB2312"/>
          <w:b/>
          <w:bCs/>
          <w:i w:val="0"/>
          <w:caps w:val="0"/>
          <w:color w:val="auto"/>
          <w:spacing w:val="0"/>
          <w:w w:val="100"/>
          <w:kern w:val="2"/>
          <w:sz w:val="32"/>
          <w:szCs w:val="32"/>
          <w:lang w:val="en-US" w:eastAsia="zh-CN" w:bidi="ar-SA"/>
        </w:rPr>
        <w:t>三是</w:t>
      </w:r>
      <w:r>
        <w:rPr>
          <w:rFonts w:hint="eastAsia" w:ascii="仿宋_GB2312" w:hAnsi="仿宋_GB2312" w:eastAsia="仿宋_GB2312" w:cs="仿宋_GB2312"/>
          <w:b w:val="0"/>
          <w:bCs w:val="0"/>
          <w:i w:val="0"/>
          <w:caps w:val="0"/>
          <w:color w:val="auto"/>
          <w:spacing w:val="0"/>
          <w:w w:val="100"/>
          <w:kern w:val="2"/>
          <w:sz w:val="32"/>
          <w:szCs w:val="32"/>
          <w:lang w:val="en-US" w:eastAsia="zh-CN" w:bidi="ar-SA"/>
        </w:rPr>
        <w:t>委</w:t>
      </w:r>
      <w:r>
        <w:rPr>
          <w:rFonts w:hint="eastAsia" w:ascii="仿宋_GB2312" w:hAnsi="仿宋_GB2312" w:eastAsia="仿宋_GB2312" w:cs="仿宋_GB2312"/>
          <w:color w:val="auto"/>
          <w:kern w:val="2"/>
          <w:sz w:val="32"/>
          <w:szCs w:val="32"/>
          <w:lang w:val="en-US" w:eastAsia="zh-CN" w:bidi="ar-SA"/>
        </w:rPr>
        <w:t>托内蒙古昕兴会计师事务所，对2022年、2023年全市35 个预售监管项目进行预售资金监管审计并形成报告。针对报告显示的三类问题现已逐一整改完毕。</w:t>
      </w:r>
    </w:p>
    <w:p w14:paraId="0F3E84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（6）各类业务办理：</w:t>
      </w:r>
      <w:r>
        <w:rPr>
          <w:rFonts w:hint="eastAsia" w:ascii="仿宋_GB2312" w:hAnsi="仿宋_GB2312" w:eastAsia="仿宋_GB2312" w:cs="仿宋_GB2312"/>
          <w:color w:val="auto"/>
          <w:kern w:val="0"/>
          <w:sz w:val="32"/>
          <w:szCs w:val="32"/>
          <w:lang w:val="en-US" w:eastAsia="zh-CN" w:bidi="ar"/>
        </w:rPr>
        <w:t>通过《巴彦淖尔市房地产市场监管服务平台》办理各类业务5002件，其中：房屋查封274件，房屋解封399件，房屋续封288件，解除限制43件，商品房合同撤销1358件，交易撤销184件，预（现）售申报11件，房产项目月报41件，暂停销售8件，预售证变更18件，开发企业变更登记2件，房产项目申报10件，房产项目变更9件，房产项目迁移2件，房产项目合并1件，二手房网签备案2354件。协助组织部查询干部住房情况38批次，共计1483人。</w:t>
      </w:r>
    </w:p>
    <w:p w14:paraId="59DC7421">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（7）房屋租赁备案：</w:t>
      </w:r>
      <w:r>
        <w:rPr>
          <w:rFonts w:hint="eastAsia" w:ascii="仿宋_GB2312" w:hAnsi="仿宋_GB2312" w:eastAsia="仿宋_GB2312" w:cs="仿宋_GB2312"/>
          <w:color w:val="auto"/>
          <w:sz w:val="32"/>
          <w:szCs w:val="32"/>
          <w:lang w:val="en-US" w:eastAsia="zh-CN"/>
        </w:rPr>
        <w:t>依据《城市房屋租赁管理办法》，临河地区正式启动房屋租赁备案工作，租赁双方可在行政审批大厅按照《城市房屋租赁管理办法》规定申请房屋租赁备案。</w:t>
      </w:r>
    </w:p>
    <w:p w14:paraId="27A22C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lang w:val="en-US" w:eastAsia="zh-CN"/>
        </w:rPr>
        <w:t>（8）网络信息化建设：一是</w:t>
      </w:r>
      <w:r>
        <w:rPr>
          <w:rFonts w:hint="eastAsia" w:ascii="仿宋_GB2312" w:hAnsi="仿宋_GB2312" w:eastAsia="仿宋_GB2312" w:cs="仿宋_GB2312"/>
          <w:b w:val="0"/>
          <w:bCs w:val="0"/>
          <w:color w:val="auto"/>
          <w:sz w:val="32"/>
          <w:szCs w:val="32"/>
          <w:lang w:val="en-US" w:eastAsia="zh-CN"/>
        </w:rPr>
        <w:t>积极推进全市办理存量房网签备案工作。</w:t>
      </w:r>
      <w:r>
        <w:rPr>
          <w:rFonts w:hint="eastAsia" w:ascii="仿宋_GB2312" w:hAnsi="仿宋_GB2312" w:eastAsia="仿宋_GB2312" w:cs="仿宋_GB2312"/>
          <w:color w:val="auto"/>
          <w:sz w:val="32"/>
          <w:szCs w:val="32"/>
          <w:lang w:val="en-US" w:eastAsia="zh-CN"/>
        </w:rPr>
        <w:t>印发《关于全市开展存量房网签备案的通知》，通知下发后，五原县、乌拉特中旗、乌拉特前旗、临河区、杭锦后旗、乌拉特后旗陆续上线，全市共办理存量房交易网签备案4740件、成交面积54.99万㎡，</w:t>
      </w:r>
      <w:r>
        <w:rPr>
          <w:rFonts w:hint="eastAsia" w:ascii="仿宋_GB2312" w:hAnsi="仿宋_GB2312" w:eastAsia="仿宋_GB2312" w:cs="仿宋_GB2312"/>
          <w:color w:val="auto"/>
          <w:sz w:val="32"/>
          <w:szCs w:val="32"/>
        </w:rPr>
        <w:t>为房屋买卖双方提供了更加规范、透明、安全的交易环境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即时</w:t>
      </w:r>
      <w:r>
        <w:rPr>
          <w:rFonts w:hint="eastAsia" w:ascii="仿宋_GB2312" w:hAnsi="仿宋_GB2312" w:eastAsia="仿宋_GB2312" w:cs="仿宋_GB2312"/>
          <w:b w:val="0"/>
          <w:bCs w:val="0"/>
          <w:color w:val="auto"/>
          <w:sz w:val="32"/>
          <w:szCs w:val="32"/>
          <w:lang w:val="en" w:eastAsia="zh-CN"/>
        </w:rPr>
        <w:t>处理</w:t>
      </w:r>
      <w:r>
        <w:rPr>
          <w:rFonts w:hint="eastAsia" w:ascii="仿宋_GB2312" w:hAnsi="仿宋_GB2312" w:eastAsia="仿宋_GB2312" w:cs="仿宋_GB2312"/>
          <w:b w:val="0"/>
          <w:bCs w:val="0"/>
          <w:color w:val="auto"/>
          <w:sz w:val="32"/>
          <w:szCs w:val="32"/>
          <w:lang w:val="en-US" w:eastAsia="zh-CN"/>
        </w:rPr>
        <w:t>全市</w:t>
      </w:r>
      <w:r>
        <w:rPr>
          <w:rFonts w:hint="eastAsia" w:ascii="仿宋_GB2312" w:hAnsi="仿宋_GB2312" w:eastAsia="仿宋_GB2312" w:cs="仿宋_GB2312"/>
          <w:b w:val="0"/>
          <w:bCs w:val="0"/>
          <w:color w:val="auto"/>
          <w:sz w:val="32"/>
          <w:szCs w:val="32"/>
          <w:lang w:val="en" w:eastAsia="zh-CN"/>
        </w:rPr>
        <w:t>存量房网签备案业务、</w:t>
      </w:r>
      <w:r>
        <w:rPr>
          <w:rFonts w:hint="eastAsia" w:ascii="仿宋_GB2312" w:hAnsi="仿宋_GB2312" w:eastAsia="仿宋_GB2312" w:cs="仿宋_GB2312"/>
          <w:b w:val="0"/>
          <w:bCs w:val="0"/>
          <w:color w:val="auto"/>
          <w:sz w:val="32"/>
          <w:szCs w:val="32"/>
          <w:lang w:val="en-US" w:eastAsia="zh-CN"/>
        </w:rPr>
        <w:t>全市新建商品房预售资金监管平台系统</w:t>
      </w:r>
      <w:r>
        <w:rPr>
          <w:rFonts w:hint="eastAsia" w:ascii="仿宋_GB2312" w:hAnsi="仿宋_GB2312" w:eastAsia="仿宋_GB2312" w:cs="仿宋_GB2312"/>
          <w:b w:val="0"/>
          <w:bCs w:val="0"/>
          <w:color w:val="auto"/>
          <w:sz w:val="32"/>
          <w:szCs w:val="32"/>
          <w:lang w:val="en" w:eastAsia="zh-CN"/>
        </w:rPr>
        <w:t>中存在的各类问题，</w:t>
      </w:r>
      <w:r>
        <w:rPr>
          <w:rFonts w:hint="eastAsia" w:ascii="仿宋_GB2312" w:hAnsi="仿宋_GB2312" w:eastAsia="仿宋_GB2312" w:cs="仿宋_GB2312"/>
          <w:b w:val="0"/>
          <w:bCs w:val="0"/>
          <w:color w:val="auto"/>
          <w:sz w:val="32"/>
          <w:szCs w:val="32"/>
          <w:lang w:val="en-US" w:eastAsia="zh-CN"/>
        </w:rPr>
        <w:t>在全市存量房网签备案方面：</w:t>
      </w:r>
      <w:r>
        <w:rPr>
          <w:rFonts w:hint="eastAsia" w:ascii="仿宋_GB2312" w:hAnsi="仿宋_GB2312" w:eastAsia="仿宋_GB2312" w:cs="仿宋_GB2312"/>
          <w:color w:val="auto"/>
          <w:sz w:val="32"/>
          <w:szCs w:val="32"/>
          <w:lang w:val="en-US" w:eastAsia="zh-CN"/>
        </w:rPr>
        <w:t>处理数据推送</w:t>
      </w:r>
      <w:r>
        <w:rPr>
          <w:rFonts w:hint="eastAsia" w:ascii="仿宋_GB2312" w:hAnsi="仿宋_GB2312" w:eastAsia="仿宋_GB2312" w:cs="仿宋_GB2312"/>
          <w:color w:val="auto"/>
          <w:sz w:val="32"/>
          <w:szCs w:val="32"/>
          <w:lang w:val="en" w:eastAsia="zh-CN"/>
        </w:rPr>
        <w:t>问题</w:t>
      </w:r>
      <w:r>
        <w:rPr>
          <w:rFonts w:hint="eastAsia" w:ascii="仿宋_GB2312" w:hAnsi="仿宋_GB2312" w:eastAsia="仿宋_GB2312" w:cs="仿宋_GB2312"/>
          <w:color w:val="auto"/>
          <w:sz w:val="32"/>
          <w:szCs w:val="32"/>
          <w:lang w:val="en-US" w:eastAsia="zh-CN"/>
        </w:rPr>
        <w:t>545余件；处理房屋状态问题59件；处理错误数据38件，</w:t>
      </w:r>
      <w:r>
        <w:rPr>
          <w:rFonts w:hint="eastAsia" w:ascii="仿宋_GB2312" w:hAnsi="仿宋_GB2312" w:eastAsia="仿宋_GB2312" w:cs="仿宋_GB2312"/>
          <w:color w:val="auto"/>
          <w:sz w:val="32"/>
          <w:szCs w:val="32"/>
          <w:lang w:val="en" w:eastAsia="zh-CN"/>
        </w:rPr>
        <w:t>保证数据</w:t>
      </w:r>
      <w:r>
        <w:rPr>
          <w:rFonts w:hint="eastAsia" w:ascii="仿宋_GB2312" w:hAnsi="仿宋_GB2312" w:eastAsia="仿宋_GB2312" w:cs="仿宋_GB2312"/>
          <w:color w:val="auto"/>
          <w:sz w:val="32"/>
          <w:szCs w:val="32"/>
          <w:lang w:val="en-US" w:eastAsia="zh-CN"/>
        </w:rPr>
        <w:t>推送</w:t>
      </w:r>
      <w:r>
        <w:rPr>
          <w:rFonts w:hint="eastAsia" w:ascii="仿宋_GB2312" w:hAnsi="仿宋_GB2312" w:eastAsia="仿宋_GB2312" w:cs="仿宋_GB2312"/>
          <w:color w:val="auto"/>
          <w:sz w:val="32"/>
          <w:szCs w:val="32"/>
          <w:lang w:val="en" w:eastAsia="zh-CN"/>
        </w:rPr>
        <w:t>准确无误、</w:t>
      </w:r>
      <w:r>
        <w:rPr>
          <w:rFonts w:hint="eastAsia" w:ascii="仿宋_GB2312" w:hAnsi="仿宋_GB2312" w:eastAsia="仿宋_GB2312" w:cs="仿宋_GB2312"/>
          <w:color w:val="auto"/>
          <w:sz w:val="32"/>
          <w:szCs w:val="32"/>
          <w:lang w:val="en-US" w:eastAsia="zh-CN"/>
        </w:rPr>
        <w:t>网签业务顺利进行；在</w:t>
      </w:r>
      <w:r>
        <w:rPr>
          <w:rFonts w:hint="eastAsia" w:ascii="仿宋_GB2312" w:hAnsi="仿宋_GB2312" w:eastAsia="仿宋_GB2312" w:cs="仿宋_GB2312"/>
          <w:b w:val="0"/>
          <w:bCs w:val="0"/>
          <w:color w:val="auto"/>
          <w:sz w:val="32"/>
          <w:szCs w:val="32"/>
          <w:lang w:val="en-US" w:eastAsia="zh-CN"/>
        </w:rPr>
        <w:t>全市新建商品房预售资金监管方面：</w:t>
      </w:r>
      <w:r>
        <w:rPr>
          <w:rFonts w:hint="eastAsia" w:ascii="仿宋_GB2312" w:hAnsi="仿宋_GB2312" w:eastAsia="仿宋_GB2312" w:cs="仿宋_GB2312"/>
          <w:color w:val="auto"/>
          <w:sz w:val="32"/>
          <w:szCs w:val="32"/>
          <w:lang w:val="en-US" w:eastAsia="zh-CN"/>
        </w:rPr>
        <w:t>全市69个新建商品房预售资金项目实现线上监管</w:t>
      </w:r>
      <w:r>
        <w:rPr>
          <w:rFonts w:hint="eastAsia" w:ascii="仿宋_GB2312" w:hAnsi="仿宋_GB2312" w:eastAsia="仿宋_GB2312" w:cs="仿宋_GB2312"/>
          <w:color w:val="auto"/>
          <w:sz w:val="32"/>
          <w:szCs w:val="32"/>
          <w:lang w:val="en" w:eastAsia="zh-CN"/>
        </w:rPr>
        <w:t>,上线率达到</w:t>
      </w:r>
      <w:r>
        <w:rPr>
          <w:rFonts w:hint="eastAsia" w:ascii="仿宋_GB2312" w:hAnsi="仿宋_GB2312" w:eastAsia="仿宋_GB2312" w:cs="仿宋_GB2312"/>
          <w:color w:val="auto"/>
          <w:sz w:val="32"/>
          <w:szCs w:val="32"/>
          <w:lang w:val="en-US" w:eastAsia="zh-CN"/>
        </w:rPr>
        <w:t>100%。及时解决全市各监管银行网点、开发企业和从业人员在系统运行中存在的各类出账入账问题140件，全市线上拨付资金共计622笔、3.5亿元；解决各类问题214件、VPN密码重置36次、新申请4个，确保企业登录系统无障碍顺利操作业务；为全市房产部门38名从业人员增加和调换权限功能共计395项，为企业领取用户名3次，规范了全市房产业务工作人员系统权限分配和功能使用</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按时填报全国保交房信息系统数据，每周更新临河地区保交房及在建项目数据，对楼盘表信息、预售资金、工程进度、未交付项目等信息逐一核实填报，同时对各旗县保交房信息系统填报工作进行指导和监督。</w:t>
      </w:r>
      <w:r>
        <w:rPr>
          <w:rFonts w:hint="eastAsia" w:ascii="仿宋_GB2312" w:hAnsi="仿宋_GB2312" w:eastAsia="仿宋_GB2312" w:cs="仿宋_GB2312"/>
          <w:b/>
          <w:bCs/>
          <w:color w:val="auto"/>
          <w:sz w:val="32"/>
          <w:szCs w:val="32"/>
          <w:highlight w:val="none"/>
          <w:lang w:val="en-US" w:eastAsia="zh-CN"/>
        </w:rPr>
        <w:t>四是</w:t>
      </w:r>
      <w:r>
        <w:rPr>
          <w:rFonts w:hint="eastAsia" w:ascii="仿宋_GB2312" w:hAnsi="仿宋_GB2312" w:eastAsia="仿宋_GB2312" w:cs="仿宋_GB2312"/>
          <w:b w:val="0"/>
          <w:bCs w:val="0"/>
          <w:color w:val="auto"/>
          <w:sz w:val="32"/>
          <w:szCs w:val="32"/>
          <w:highlight w:val="none"/>
          <w:lang w:val="en-US" w:eastAsia="zh-CN"/>
        </w:rPr>
        <w:t>组织全市</w:t>
      </w:r>
      <w:r>
        <w:rPr>
          <w:rFonts w:hint="eastAsia" w:ascii="仿宋_GB2312" w:hAnsi="仿宋_GB2312" w:eastAsia="仿宋_GB2312" w:cs="仿宋_GB2312"/>
          <w:color w:val="auto"/>
          <w:sz w:val="32"/>
          <w:szCs w:val="32"/>
          <w:highlight w:val="none"/>
        </w:rPr>
        <w:t>存量房交易网签备案业务</w:t>
      </w:r>
      <w:r>
        <w:rPr>
          <w:rFonts w:hint="eastAsia" w:ascii="仿宋_GB2312" w:hAnsi="仿宋_GB2312" w:eastAsia="仿宋_GB2312" w:cs="仿宋_GB2312"/>
          <w:color w:val="auto"/>
          <w:sz w:val="32"/>
          <w:szCs w:val="32"/>
          <w:highlight w:val="none"/>
          <w:lang w:val="en-US" w:eastAsia="zh-CN"/>
        </w:rPr>
        <w:t>系统操作、存量房网签备案操作、房地产中介机构进行系统注册备案和存量房网签操作培训共</w:t>
      </w:r>
      <w:r>
        <w:rPr>
          <w:rFonts w:hint="eastAsia" w:ascii="仿宋_GB2312" w:hAnsi="仿宋_GB2312" w:eastAsia="仿宋_GB2312" w:cs="仿宋_GB2312"/>
          <w:b w:val="0"/>
          <w:bCs w:val="0"/>
          <w:color w:val="auto"/>
          <w:sz w:val="32"/>
          <w:szCs w:val="32"/>
          <w:highlight w:val="none"/>
          <w:lang w:val="en-US" w:eastAsia="zh-CN"/>
        </w:rPr>
        <w:t>三次，提高从业人员业务能力。</w:t>
      </w:r>
    </w:p>
    <w:p w14:paraId="47440C1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9.房产测绘：一是</w:t>
      </w:r>
      <w:r>
        <w:rPr>
          <w:rFonts w:hint="eastAsia" w:ascii="仿宋_GB2312" w:hAnsi="仿宋_GB2312" w:eastAsia="仿宋_GB2312" w:cs="仿宋_GB2312"/>
          <w:color w:val="auto"/>
          <w:sz w:val="32"/>
          <w:szCs w:val="32"/>
          <w:lang w:val="en-US" w:eastAsia="zh-CN"/>
        </w:rPr>
        <w:t>房产测绘成果备案办接结30件，其中：实测14件、实测变更4件、预测10件、预测变更</w:t>
      </w:r>
      <w:r>
        <w:rPr>
          <w:rFonts w:hint="default"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件，房产测绘成果备案数据已上传房地产市场监管服务平台。</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按照审批部门“减环节、减材料、减时限”的工作要求，对房产测绘成果备案审核工作进行了材料精简和流程简化，房产预测成果备案及变更审核时限由原3个工作日压缩为2个工作日，房产实测成果备案及变更审核时限由原4个工作日压缩为3个工作日，节省了企业的办事时间。</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做好技术服务工作。联合</w:t>
      </w:r>
      <w:r>
        <w:rPr>
          <w:rFonts w:hint="eastAsia" w:ascii="仿宋_GB2312" w:hAnsi="仿宋_GB2312" w:eastAsia="仿宋_GB2312" w:cs="仿宋_GB2312"/>
          <w:color w:val="auto"/>
          <w:sz w:val="32"/>
          <w:szCs w:val="32"/>
          <w:lang w:val="en-US" w:eastAsia="zh-CN"/>
        </w:rPr>
        <w:t>业务科室、房地产开发企业、测绘机构，解决房产测绘备案工作存在的主要问题，对企业提供上门服务3次。</w:t>
      </w:r>
    </w:p>
    <w:p w14:paraId="25918F7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物业管理</w:t>
      </w:r>
      <w:r>
        <w:rPr>
          <w:rFonts w:hint="eastAsia" w:ascii="仿宋_GB2312" w:hAnsi="仿宋_GB2312" w:eastAsia="仿宋_GB2312" w:cs="仿宋_GB2312"/>
          <w:b/>
          <w:bCs/>
          <w:color w:val="auto"/>
          <w:sz w:val="32"/>
          <w:szCs w:val="32"/>
          <w:lang w:eastAsia="zh-CN"/>
        </w:rPr>
        <w:t>：</w:t>
      </w:r>
      <w:r>
        <w:rPr>
          <w:rFonts w:hint="eastAsia" w:ascii="方正仿宋_GB2312" w:hAnsi="方正仿宋_GB2312" w:eastAsia="方正仿宋_GB2312" w:cs="方正仿宋_GB2312"/>
          <w:b/>
          <w:bCs/>
          <w:sz w:val="32"/>
          <w:szCs w:val="32"/>
          <w:lang w:val="en-US" w:eastAsia="zh-CN"/>
        </w:rPr>
        <w:t>一是</w:t>
      </w:r>
      <w:r>
        <w:rPr>
          <w:rFonts w:hint="eastAsia" w:ascii="方正仿宋_GB2312" w:hAnsi="方正仿宋_GB2312" w:eastAsia="方正仿宋_GB2312" w:cs="方正仿宋_GB2312"/>
          <w:color w:val="auto"/>
          <w:sz w:val="32"/>
          <w:szCs w:val="32"/>
          <w:lang w:val="en-US" w:eastAsia="zh-CN"/>
        </w:rPr>
        <w:t>抓实物业服务，提升物业水平。</w:t>
      </w:r>
      <w:r>
        <w:rPr>
          <w:rFonts w:hint="eastAsia" w:ascii="方正仿宋_GB2312" w:hAnsi="方正仿宋_GB2312" w:eastAsia="方正仿宋_GB2312" w:cs="方正仿宋_GB2312"/>
          <w:sz w:val="32"/>
          <w:szCs w:val="32"/>
          <w:lang w:val="en-US" w:eastAsia="zh-CN"/>
        </w:rPr>
        <w:t>通过</w:t>
      </w:r>
      <w:r>
        <w:rPr>
          <w:rFonts w:hint="eastAsia" w:ascii="仿宋_GB2312" w:hAnsi="仿宋_GB2312" w:eastAsia="仿宋_GB2312" w:cs="仿宋_GB2312"/>
          <w:b w:val="0"/>
          <w:bCs w:val="0"/>
          <w:color w:val="auto"/>
          <w:sz w:val="32"/>
          <w:szCs w:val="32"/>
          <w:highlight w:val="none"/>
          <w:lang w:eastAsia="zh-CN"/>
        </w:rPr>
        <w:t>推进住宅物业服务全覆盖，巩固住宅物业服务全覆盖提品质三年攻坚行动，全市物业管理覆盖率达100%，专业化物业覆盖率89.84%，业委会（物管会）覆盖率95.3%；</w:t>
      </w:r>
      <w:r>
        <w:rPr>
          <w:rFonts w:hint="eastAsia" w:ascii="仿宋_GB2312" w:hAnsi="仿宋_GB2312" w:eastAsia="仿宋_GB2312" w:cs="仿宋_GB2312"/>
          <w:color w:val="auto"/>
          <w:kern w:val="2"/>
          <w:sz w:val="32"/>
          <w:szCs w:val="32"/>
          <w:lang w:val="en-US" w:eastAsia="zh-CN" w:bidi="ar-SA"/>
        </w:rPr>
        <w:t>按照市政府要求，对涉及全市经济运行调查报告中的四家房地产物业服务企业进行了经济运行指标数据摸底，并上报相关报表；</w:t>
      </w:r>
      <w:r>
        <w:rPr>
          <w:rFonts w:hint="eastAsia" w:ascii="仿宋_GB2312" w:hAnsi="仿宋_GB2312" w:eastAsia="仿宋_GB2312" w:cs="仿宋_GB2312"/>
          <w:color w:val="auto"/>
          <w:sz w:val="32"/>
          <w:szCs w:val="32"/>
          <w:lang w:val="en-US" w:eastAsia="zh-CN"/>
        </w:rPr>
        <w:t>联合</w:t>
      </w:r>
      <w:r>
        <w:rPr>
          <w:rFonts w:hint="eastAsia" w:ascii="仿宋_GB2312" w:hAnsi="仿宋_GB2312" w:eastAsia="仿宋_GB2312" w:cs="仿宋_GB2312"/>
          <w:color w:val="auto"/>
          <w:kern w:val="2"/>
          <w:sz w:val="32"/>
          <w:szCs w:val="32"/>
          <w:lang w:val="en-US" w:eastAsia="zh-CN" w:bidi="ar-SA"/>
        </w:rPr>
        <w:t>市物业管理协会对全市2025年度物业管理创优达标共18个项目进行现场核验，评验上报10个项目参加自治区评选。</w:t>
      </w:r>
      <w:r>
        <w:rPr>
          <w:rFonts w:hint="eastAsia" w:ascii="方正仿宋_GB2312" w:hAnsi="方正仿宋_GB2312" w:eastAsia="方正仿宋_GB2312" w:cs="方正仿宋_GB2312"/>
          <w:b/>
          <w:bCs/>
          <w:sz w:val="32"/>
          <w:szCs w:val="32"/>
          <w:lang w:val="en-US" w:eastAsia="zh-CN"/>
        </w:rPr>
        <w:t>二是</w:t>
      </w:r>
      <w:r>
        <w:rPr>
          <w:rFonts w:hint="eastAsia" w:ascii="方正仿宋_GB2312" w:hAnsi="方正仿宋_GB2312" w:eastAsia="方正仿宋_GB2312" w:cs="方正仿宋_GB2312"/>
          <w:color w:val="auto"/>
          <w:sz w:val="32"/>
          <w:szCs w:val="32"/>
          <w:lang w:val="en-US" w:eastAsia="zh-CN"/>
        </w:rPr>
        <w:t>健全制度体系，促进服务升级。</w:t>
      </w:r>
      <w:r>
        <w:rPr>
          <w:rFonts w:hint="eastAsia" w:ascii="仿宋_GB2312" w:hAnsi="仿宋_GB2312" w:eastAsia="仿宋_GB2312" w:cs="仿宋_GB2312"/>
          <w:color w:val="auto"/>
          <w:sz w:val="32"/>
          <w:szCs w:val="32"/>
          <w:lang w:val="en-US" w:eastAsia="zh-CN"/>
        </w:rPr>
        <w:t>组织全市住宅小区开展安全隐患大排查，共排查305个问题，全部完成</w:t>
      </w:r>
      <w:r>
        <w:rPr>
          <w:rFonts w:hint="eastAsia" w:ascii="仿宋_GB2312" w:hAnsi="仿宋_GB2312" w:eastAsia="仿宋_GB2312" w:cs="仿宋_GB2312"/>
          <w:color w:val="auto"/>
          <w:sz w:val="32"/>
          <w:szCs w:val="32"/>
          <w:u w:val="none"/>
          <w:lang w:val="en-US" w:eastAsia="zh-CN"/>
        </w:rPr>
        <w:t>整改；</w:t>
      </w:r>
      <w:r>
        <w:rPr>
          <w:rFonts w:hint="eastAsia" w:ascii="仿宋_GB2312" w:hAnsi="仿宋_GB2312" w:eastAsia="仿宋_GB2312" w:cs="仿宋_GB2312"/>
          <w:color w:val="auto"/>
          <w:sz w:val="32"/>
          <w:szCs w:val="32"/>
          <w:lang w:val="en-US" w:eastAsia="zh-CN"/>
        </w:rPr>
        <w:t>印发《开展2025年度“加强物业管理共建美好家园”活动实施方案》，积极推进住宅小区美好家园建设，现已上报自治区6个小区典型范例。</w:t>
      </w:r>
      <w:r>
        <w:rPr>
          <w:rFonts w:hint="eastAsia" w:ascii="方正仿宋_GB2312" w:hAnsi="方正仿宋_GB2312" w:eastAsia="方正仿宋_GB2312" w:cs="方正仿宋_GB2312"/>
          <w:b/>
          <w:bCs/>
          <w:sz w:val="32"/>
          <w:szCs w:val="32"/>
          <w:lang w:val="en-US" w:eastAsia="zh-CN"/>
        </w:rPr>
        <w:t>三是</w:t>
      </w:r>
      <w:r>
        <w:rPr>
          <w:rFonts w:hint="eastAsia" w:ascii="方正仿宋_GB2312" w:hAnsi="方正仿宋_GB2312" w:eastAsia="方正仿宋_GB2312" w:cs="方正仿宋_GB2312"/>
          <w:color w:val="auto"/>
          <w:sz w:val="32"/>
          <w:szCs w:val="32"/>
          <w:lang w:val="en-US" w:eastAsia="zh-CN"/>
        </w:rPr>
        <w:t>深化党建联建，凝聚治理合力。</w:t>
      </w:r>
      <w:r>
        <w:rPr>
          <w:rFonts w:hint="eastAsia" w:ascii="方正仿宋_GB2312" w:hAnsi="方正仿宋_GB2312" w:eastAsia="方正仿宋_GB2312" w:cs="方正仿宋_GB2312"/>
          <w:sz w:val="32"/>
          <w:szCs w:val="32"/>
          <w:lang w:val="en-US" w:eastAsia="zh-CN"/>
        </w:rPr>
        <w:t>召开物业行业党委大会，增补调整党委委员并向各旗县区下发2025年工作计划。推动成立物业企业党组织29个，为不符合单独组建条件的企业和小区成立联合党组织4个，实现社区“两委”成员与业委会“双向进入、交叉任职”，各地区街道社区共向物业企业指派党建指导员44名。</w:t>
      </w:r>
      <w:r>
        <w:rPr>
          <w:rFonts w:hint="eastAsia" w:ascii="仿宋_GB2312" w:hAnsi="仿宋_GB2312" w:eastAsia="仿宋_GB2312" w:cs="仿宋_GB2312"/>
          <w:color w:val="auto"/>
          <w:kern w:val="2"/>
          <w:sz w:val="32"/>
          <w:szCs w:val="32"/>
          <w:lang w:val="en-US" w:eastAsia="zh-CN" w:bidi="ar-SA"/>
        </w:rPr>
        <w:t>对全市市本级管理的新兴领域物业企业</w:t>
      </w:r>
      <w:r>
        <w:rPr>
          <w:rFonts w:hint="eastAsia" w:ascii="仿宋_GB2312" w:hAnsi="仿宋_GB2312" w:eastAsia="仿宋_GB2312" w:cs="仿宋_GB2312"/>
          <w:color w:val="auto"/>
          <w:sz w:val="32"/>
          <w:szCs w:val="32"/>
          <w:lang w:val="en-US" w:eastAsia="zh-CN"/>
        </w:rPr>
        <w:t>党建和服务管理、两个覆盖攻坚</w:t>
      </w:r>
      <w:r>
        <w:rPr>
          <w:rFonts w:hint="eastAsia" w:ascii="仿宋_GB2312" w:hAnsi="仿宋_GB2312" w:eastAsia="仿宋_GB2312" w:cs="仿宋_GB2312"/>
          <w:color w:val="auto"/>
          <w:kern w:val="2"/>
          <w:sz w:val="32"/>
          <w:szCs w:val="32"/>
          <w:lang w:val="en-US" w:eastAsia="zh-CN" w:bidi="ar-SA"/>
        </w:rPr>
        <w:t>进行了摸底排查，</w:t>
      </w:r>
      <w:r>
        <w:rPr>
          <w:rFonts w:hint="eastAsia" w:ascii="仿宋_GB2312" w:hAnsi="仿宋_GB2312" w:eastAsia="仿宋_GB2312" w:cs="仿宋_GB2312"/>
          <w:i w:val="0"/>
          <w:iCs w:val="0"/>
          <w:caps w:val="0"/>
          <w:color w:val="auto"/>
          <w:spacing w:val="0"/>
          <w:sz w:val="32"/>
          <w:szCs w:val="32"/>
          <w:u w:val="none"/>
          <w:lang w:val="en-US" w:eastAsia="zh-CN"/>
        </w:rPr>
        <w:t>推动符合条件的企业和社会组织单独组建党组织，</w:t>
      </w:r>
      <w:r>
        <w:rPr>
          <w:rFonts w:hint="eastAsia" w:ascii="仿宋_GB2312" w:hAnsi="仿宋_GB2312" w:eastAsia="仿宋_GB2312" w:cs="仿宋_GB2312"/>
          <w:color w:val="auto"/>
          <w:kern w:val="2"/>
          <w:sz w:val="32"/>
          <w:szCs w:val="32"/>
          <w:lang w:val="en-US" w:eastAsia="zh-CN" w:bidi="ar-SA"/>
        </w:rPr>
        <w:t>结合各旗县区实际情况对</w:t>
      </w:r>
      <w:r>
        <w:rPr>
          <w:rFonts w:hint="eastAsia" w:ascii="仿宋_GB2312" w:hAnsi="仿宋_GB2312" w:eastAsia="仿宋_GB2312" w:cs="仿宋_GB2312"/>
          <w:i w:val="0"/>
          <w:iCs w:val="0"/>
          <w:caps w:val="0"/>
          <w:color w:val="auto"/>
          <w:spacing w:val="0"/>
          <w:sz w:val="32"/>
          <w:szCs w:val="32"/>
          <w:u w:val="none"/>
          <w:lang w:val="en-US" w:eastAsia="zh-CN"/>
        </w:rPr>
        <w:t>物业服务企业基层党组织和党的工作进行3次实地指导</w:t>
      </w:r>
      <w:r>
        <w:rPr>
          <w:rFonts w:hint="eastAsia" w:ascii="仿宋_GB2312" w:hAnsi="仿宋_GB2312" w:eastAsia="仿宋_GB2312" w:cs="仿宋_GB2312"/>
          <w:color w:val="auto"/>
          <w:kern w:val="2"/>
          <w:sz w:val="32"/>
          <w:szCs w:val="32"/>
          <w:lang w:val="en-US" w:eastAsia="zh-CN" w:bidi="ar-SA"/>
        </w:rPr>
        <w:t>。</w:t>
      </w:r>
      <w:r>
        <w:rPr>
          <w:rFonts w:hint="eastAsia" w:ascii="方正仿宋_GB2312" w:hAnsi="方正仿宋_GB2312" w:eastAsia="方正仿宋_GB2312" w:cs="方正仿宋_GB2312"/>
          <w:sz w:val="32"/>
          <w:szCs w:val="32"/>
          <w:lang w:val="en-US" w:eastAsia="zh-CN"/>
        </w:rPr>
        <w:t>目前全市7个旗县区均已成立物业行业党委。</w:t>
      </w:r>
      <w:r>
        <w:rPr>
          <w:rFonts w:hint="eastAsia" w:ascii="方正仿宋_GB2312" w:hAnsi="方正仿宋_GB2312" w:eastAsia="方正仿宋_GB2312" w:cs="方正仿宋_GB2312"/>
          <w:b/>
          <w:bCs/>
          <w:sz w:val="32"/>
          <w:szCs w:val="32"/>
          <w:lang w:val="en-US" w:eastAsia="zh-CN"/>
        </w:rPr>
        <w:t>四是</w:t>
      </w:r>
      <w:r>
        <w:rPr>
          <w:rFonts w:hint="eastAsia" w:ascii="方正仿宋_GB2312" w:hAnsi="方正仿宋_GB2312" w:eastAsia="方正仿宋_GB2312" w:cs="方正仿宋_GB2312"/>
          <w:color w:val="auto"/>
          <w:sz w:val="32"/>
          <w:szCs w:val="32"/>
          <w:lang w:val="en-US" w:eastAsia="zh-CN"/>
        </w:rPr>
        <w:t>开展专项整治，化解突出问题。</w:t>
      </w:r>
      <w:r>
        <w:rPr>
          <w:rFonts w:hint="eastAsia" w:ascii="仿宋_GB2312" w:hAnsi="仿宋_GB2312" w:eastAsia="仿宋_GB2312" w:cs="仿宋_GB2312"/>
          <w:b w:val="0"/>
          <w:bCs w:val="0"/>
          <w:color w:val="auto"/>
          <w:sz w:val="32"/>
          <w:szCs w:val="32"/>
        </w:rPr>
        <w:t>开展电动车全链条整治行动</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u w:val="none"/>
          <w:lang w:val="en-US" w:eastAsia="zh-CN"/>
        </w:rPr>
        <w:t>积极推动电动车安全隐患全链条整治行动。协助局机关对</w:t>
      </w:r>
      <w:r>
        <w:rPr>
          <w:rFonts w:hint="eastAsia" w:ascii="仿宋_GB2312" w:hAnsi="仿宋_GB2312" w:eastAsia="仿宋_GB2312" w:cs="仿宋_GB2312"/>
          <w:b w:val="0"/>
          <w:bCs w:val="0"/>
          <w:color w:val="auto"/>
          <w:sz w:val="32"/>
          <w:szCs w:val="32"/>
          <w:lang w:eastAsia="zh-CN"/>
        </w:rPr>
        <w:t>物业小区</w:t>
      </w:r>
      <w:r>
        <w:rPr>
          <w:rFonts w:hint="eastAsia" w:ascii="仿宋_GB2312" w:hAnsi="仿宋_GB2312" w:eastAsia="仿宋_GB2312" w:cs="仿宋_GB2312"/>
          <w:b w:val="0"/>
          <w:bCs w:val="0"/>
          <w:color w:val="auto"/>
          <w:sz w:val="32"/>
          <w:szCs w:val="32"/>
        </w:rPr>
        <w:t>飞线充电、占堵通道</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违规停放等违法违规行为</w:t>
      </w:r>
      <w:r>
        <w:rPr>
          <w:rFonts w:hint="eastAsia" w:ascii="仿宋_GB2312" w:hAnsi="仿宋_GB2312" w:eastAsia="仿宋_GB2312" w:cs="仿宋_GB2312"/>
          <w:b w:val="0"/>
          <w:bCs w:val="0"/>
          <w:color w:val="auto"/>
          <w:sz w:val="32"/>
          <w:szCs w:val="32"/>
          <w:lang w:eastAsia="zh-CN"/>
        </w:rPr>
        <w:t>和重大安全隐患进行三</w:t>
      </w:r>
      <w:r>
        <w:rPr>
          <w:rFonts w:hint="eastAsia" w:ascii="仿宋_GB2312" w:hAnsi="仿宋_GB2312" w:eastAsia="仿宋_GB2312" w:cs="仿宋_GB2312"/>
          <w:b w:val="0"/>
          <w:bCs w:val="0"/>
          <w:color w:val="auto"/>
          <w:sz w:val="32"/>
          <w:szCs w:val="32"/>
          <w:lang w:val="en-US" w:eastAsia="zh-CN"/>
        </w:rPr>
        <w:t>轮</w:t>
      </w:r>
      <w:r>
        <w:rPr>
          <w:rFonts w:hint="eastAsia" w:ascii="仿宋_GB2312" w:hAnsi="仿宋_GB2312" w:eastAsia="仿宋_GB2312" w:cs="仿宋_GB2312"/>
          <w:b w:val="0"/>
          <w:bCs w:val="0"/>
          <w:color w:val="auto"/>
          <w:sz w:val="32"/>
          <w:szCs w:val="32"/>
          <w:lang w:eastAsia="zh-CN"/>
        </w:rPr>
        <w:t>全面排查，处理违规行为</w:t>
      </w:r>
      <w:r>
        <w:rPr>
          <w:rFonts w:hint="default"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614件。</w:t>
      </w:r>
      <w:r>
        <w:rPr>
          <w:rFonts w:hint="eastAsia" w:ascii="仿宋_GB2312" w:hAnsi="仿宋_GB2312" w:eastAsia="仿宋_GB2312" w:cs="仿宋_GB2312"/>
          <w:b w:val="0"/>
          <w:bCs w:val="0"/>
          <w:color w:val="auto"/>
          <w:sz w:val="32"/>
          <w:szCs w:val="32"/>
          <w:u w:val="none"/>
          <w:lang w:val="en-US" w:eastAsia="zh-CN"/>
        </w:rPr>
        <w:t>全市电动自行车充电桩安装小区1146个，安装充电桩7003个、充电端口75550个，安装小区覆盖率</w:t>
      </w:r>
      <w:r>
        <w:rPr>
          <w:rFonts w:hint="default" w:ascii="仿宋_GB2312" w:hAnsi="仿宋_GB2312" w:eastAsia="仿宋_GB2312" w:cs="仿宋_GB2312"/>
          <w:b w:val="0"/>
          <w:bCs w:val="0"/>
          <w:color w:val="auto"/>
          <w:sz w:val="32"/>
          <w:szCs w:val="32"/>
          <w:u w:val="none"/>
          <w:lang w:val="en-US" w:eastAsia="zh-CN"/>
        </w:rPr>
        <w:t>96.7</w:t>
      </w:r>
      <w:r>
        <w:rPr>
          <w:rFonts w:hint="eastAsia" w:ascii="仿宋_GB2312" w:hAnsi="仿宋_GB2312" w:eastAsia="仿宋_GB2312" w:cs="仿宋_GB2312"/>
          <w:b w:val="0"/>
          <w:bCs w:val="0"/>
          <w:color w:val="auto"/>
          <w:sz w:val="32"/>
          <w:szCs w:val="32"/>
          <w:u w:val="none"/>
          <w:lang w:val="en-US" w:eastAsia="zh-CN"/>
        </w:rPr>
        <w:t>%；开展</w:t>
      </w:r>
      <w:r>
        <w:rPr>
          <w:rFonts w:hint="eastAsia" w:ascii="仿宋_GB2312" w:hAnsi="仿宋_GB2312" w:eastAsia="仿宋_GB2312" w:cs="仿宋_GB2312"/>
          <w:b w:val="0"/>
          <w:bCs w:val="0"/>
          <w:color w:val="auto"/>
          <w:sz w:val="32"/>
          <w:szCs w:val="32"/>
          <w:highlight w:val="none"/>
          <w:lang w:val="en-US" w:eastAsia="zh-CN"/>
        </w:rPr>
        <w:t>物业服务履约不到位专项整治。联合纪检组对全市</w:t>
      </w:r>
      <w:r>
        <w:rPr>
          <w:rFonts w:hint="eastAsia" w:ascii="仿宋_GB2312" w:hAnsi="仿宋_GB2312" w:eastAsia="仿宋_GB2312" w:cs="仿宋_GB2312"/>
          <w:b w:val="0"/>
          <w:bCs w:val="0"/>
          <w:color w:val="auto"/>
          <w:sz w:val="32"/>
          <w:szCs w:val="32"/>
          <w:highlight w:val="none"/>
          <w:lang w:val="en-US" w:eastAsia="zh"/>
        </w:rPr>
        <w:t>6</w:t>
      </w:r>
      <w:r>
        <w:rPr>
          <w:rFonts w:hint="eastAsia" w:ascii="仿宋_GB2312" w:hAnsi="仿宋_GB2312" w:eastAsia="仿宋_GB2312" w:cs="仿宋_GB2312"/>
          <w:b w:val="0"/>
          <w:bCs w:val="0"/>
          <w:color w:val="auto"/>
          <w:sz w:val="32"/>
          <w:szCs w:val="32"/>
          <w:highlight w:val="none"/>
          <w:lang w:val="en-US" w:eastAsia="zh-CN"/>
        </w:rPr>
        <w:t>84个物业小区持续开展全覆盖、无死角的物业行业乱象整治排查3次并按时上报物业履约不到位工作台账。全市各旗县区共排查361个小区，利用邮箱、电访、信访以及主动下访多种途径共发现“物业服务履约不到位”问题线索</w:t>
      </w:r>
      <w:r>
        <w:rPr>
          <w:rFonts w:hint="default"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lang w:val="en-US" w:eastAsia="zh-CN"/>
        </w:rPr>
        <w:t>74条，完成整改359条，推动整改</w:t>
      </w:r>
      <w:r>
        <w:rPr>
          <w:rFonts w:hint="default"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en-US" w:eastAsia="zh-CN"/>
        </w:rPr>
        <w:t>5条</w:t>
      </w:r>
      <w:r>
        <w:rPr>
          <w:rFonts w:hint="default"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kern w:val="2"/>
          <w:sz w:val="32"/>
          <w:szCs w:val="32"/>
          <w:lang w:val="en-US" w:eastAsia="zh-CN" w:bidi="ar-SA"/>
        </w:rPr>
        <w:t>移送纪委案件1件</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累计追缴回小区公共收益33.9万元、装修保证金241.32万元、住宅专项维修资金537.45万元，曝光物业履约不到位典型案例14件</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b w:val="0"/>
          <w:bCs w:val="0"/>
          <w:color w:val="auto"/>
          <w:kern w:val="2"/>
          <w:sz w:val="32"/>
          <w:szCs w:val="32"/>
          <w:highlight w:val="none"/>
          <w:lang w:val="en-US" w:bidi="ar-SA"/>
        </w:rPr>
        <w:t>对排查过程中发现的问题进行梳理汇总</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各类物业矛盾纠纷得到有效化解；开展全市清理小区楼道堆放杂物及电动自行车消防安全专项整治行动，全共联合执法87次，累计清理小区楼道杂物等占堵通道行为409件，全力构筑起住宅小区安全防护屏障；</w:t>
      </w:r>
      <w:r>
        <w:rPr>
          <w:rFonts w:hint="eastAsia" w:ascii="仿宋_GB2312" w:hAnsi="仿宋_GB2312" w:eastAsia="仿宋_GB2312" w:cs="仿宋_GB2312"/>
          <w:color w:val="auto"/>
          <w:sz w:val="32"/>
          <w:szCs w:val="32"/>
          <w:lang w:val="en-US" w:eastAsia="zh-CN"/>
        </w:rPr>
        <w:t>联合巴彦淖尔市市场监督管理局完成了对全市“双随机、一公开”的检查工作，共检查全市物业项目23个。</w:t>
      </w:r>
      <w:r>
        <w:rPr>
          <w:rFonts w:hint="eastAsia" w:ascii="方正仿宋_GB2312" w:hAnsi="方正仿宋_GB2312" w:eastAsia="方正仿宋_GB2312" w:cs="方正仿宋_GB2312"/>
          <w:b/>
          <w:bCs/>
          <w:sz w:val="32"/>
          <w:szCs w:val="32"/>
          <w:lang w:val="en-US" w:eastAsia="zh-CN"/>
        </w:rPr>
        <w:t>五是</w:t>
      </w:r>
      <w:r>
        <w:rPr>
          <w:rFonts w:hint="eastAsia" w:ascii="方正仿宋_GB2312" w:hAnsi="方正仿宋_GB2312" w:eastAsia="方正仿宋_GB2312" w:cs="方正仿宋_GB2312"/>
          <w:color w:val="auto"/>
          <w:sz w:val="32"/>
          <w:szCs w:val="32"/>
          <w:lang w:val="en-US" w:eastAsia="zh-CN"/>
        </w:rPr>
        <w:t>不断优化服务，提升民生温度。</w:t>
      </w:r>
      <w:r>
        <w:rPr>
          <w:rFonts w:hint="eastAsia" w:ascii="仿宋_GB2312" w:hAnsi="仿宋_GB2312" w:eastAsia="仿宋_GB2312" w:cs="仿宋_GB2312"/>
          <w:color w:val="auto"/>
          <w:sz w:val="32"/>
          <w:szCs w:val="32"/>
          <w:lang w:val="en-US" w:eastAsia="zh-CN"/>
        </w:rPr>
        <w:t>完成了自治区物业监督一体化平台的信息录入启用，“物业马上办”二维码已全覆盖全市所有物业小区，方便群众一键扫码解决身边物业问题。</w:t>
      </w:r>
    </w:p>
    <w:p w14:paraId="7811AA0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1.档案管理：一是</w:t>
      </w:r>
      <w:r>
        <w:rPr>
          <w:rFonts w:hint="eastAsia" w:ascii="仿宋_GB2312" w:hAnsi="仿宋_GB2312" w:eastAsia="仿宋_GB2312" w:cs="仿宋_GB2312"/>
          <w:color w:val="auto"/>
          <w:sz w:val="32"/>
          <w:szCs w:val="32"/>
          <w:lang w:val="en-US" w:eastAsia="zh-CN"/>
        </w:rPr>
        <w:t>2025年共接收各类业务档案约5</w:t>
      </w:r>
      <w:r>
        <w:rPr>
          <w:rFonts w:hint="default" w:ascii="仿宋_GB2312" w:hAnsi="仿宋_GB2312" w:eastAsia="仿宋_GB2312" w:cs="仿宋_GB2312"/>
          <w:color w:val="auto"/>
          <w:sz w:val="32"/>
          <w:szCs w:val="32"/>
          <w:lang w:val="en-US" w:eastAsia="zh-CN"/>
        </w:rPr>
        <w:t>56</w:t>
      </w:r>
      <w:r>
        <w:rPr>
          <w:rFonts w:hint="eastAsia" w:ascii="仿宋_GB2312" w:hAnsi="仿宋_GB2312" w:eastAsia="仿宋_GB2312" w:cs="仿宋_GB2312"/>
          <w:color w:val="auto"/>
          <w:sz w:val="32"/>
          <w:szCs w:val="32"/>
          <w:lang w:val="en-US" w:eastAsia="zh-CN"/>
        </w:rPr>
        <w:t>份，其中房产信息类63份，测绘类</w:t>
      </w:r>
      <w:r>
        <w:rPr>
          <w:rFonts w:hint="default" w:ascii="仿宋_GB2312" w:hAnsi="仿宋_GB2312" w:eastAsia="仿宋_GB2312" w:cs="仿宋_GB2312"/>
          <w:color w:val="auto"/>
          <w:sz w:val="32"/>
          <w:szCs w:val="32"/>
          <w:lang w:val="en-US" w:eastAsia="zh-CN"/>
        </w:rPr>
        <w:t>41</w:t>
      </w:r>
      <w:r>
        <w:rPr>
          <w:rFonts w:hint="eastAsia" w:ascii="仿宋_GB2312" w:hAnsi="仿宋_GB2312" w:eastAsia="仿宋_GB2312" w:cs="仿宋_GB2312"/>
          <w:color w:val="auto"/>
          <w:sz w:val="32"/>
          <w:szCs w:val="32"/>
          <w:lang w:val="en-US" w:eastAsia="zh-CN"/>
        </w:rPr>
        <w:t>份，</w:t>
      </w:r>
      <w:r>
        <w:rPr>
          <w:rFonts w:hint="eastAsia" w:ascii="仿宋_GB2312" w:hAnsi="仿宋_GB2312" w:eastAsia="仿宋_GB2312" w:cs="仿宋_GB2312"/>
          <w:color w:val="auto"/>
          <w:sz w:val="32"/>
          <w:szCs w:val="32"/>
          <w:u w:val="none"/>
          <w:lang w:val="en-US" w:eastAsia="zh-CN"/>
        </w:rPr>
        <w:t>资金监管类资料2份</w:t>
      </w:r>
      <w:r>
        <w:rPr>
          <w:rFonts w:hint="default"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lang w:val="en-US" w:eastAsia="zh-CN"/>
        </w:rPr>
        <w:t>其他资料450份，整理档案约70盒。为临河区人民法院执行局及相关业务科室进行21次查解封和商品房预售手续的查阅。</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为进一步改善档案室档案储存环境，为档案室配备了温度计、湿度计、粘鼠板、防虫剂、灭火器。</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健全档案工作体制机制。科室结合巴彦淖尔市档案局印发的《巴彦淖尔市2025年档案工作要点》研究制定了2025年工作计划；同时根据《中华人民共和国档案法》《中华人民共和国保守国家秘密法</w:t>
      </w:r>
      <w:bookmarkStart w:id="4" w:name="_GoBack"/>
      <w:bookmarkEnd w:id="4"/>
      <w:r>
        <w:rPr>
          <w:rFonts w:hint="eastAsia" w:ascii="仿宋_GB2312" w:hAnsi="仿宋_GB2312" w:eastAsia="仿宋_GB2312" w:cs="仿宋_GB2312"/>
          <w:color w:val="auto"/>
          <w:sz w:val="32"/>
          <w:szCs w:val="32"/>
          <w:lang w:val="en-US" w:eastAsia="zh-CN"/>
        </w:rPr>
        <w:t>》等法规，结合工作实际，制定《档案科档案保管应急制度》；此外，还结合《中华人民共和国档案法实施条例》《内蒙古自治区档案条例》等法律法规修改了科室档案管理制度，进一步完善了档案利用、查阅、接收流程。</w:t>
      </w:r>
    </w:p>
    <w:p w14:paraId="086737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firstLineChars="200"/>
        <w:jc w:val="left"/>
        <w:textAlignment w:val="auto"/>
        <w:rPr>
          <w:rFonts w:hint="eastAsia" w:ascii="CESI楷体-GB2312" w:hAnsi="CESI楷体-GB2312" w:eastAsia="CESI楷体-GB2312" w:cs="CESI楷体-GB2312"/>
          <w:b/>
          <w:bCs/>
          <w:color w:val="auto"/>
          <w:sz w:val="32"/>
          <w:szCs w:val="32"/>
        </w:rPr>
      </w:pPr>
      <w:r>
        <w:rPr>
          <w:rFonts w:hint="eastAsia" w:ascii="CESI楷体-GB2312" w:hAnsi="CESI楷体-GB2312" w:eastAsia="CESI楷体-GB2312" w:cs="CESI楷体-GB2312"/>
          <w:b/>
          <w:bCs/>
          <w:color w:val="auto"/>
          <w:sz w:val="32"/>
          <w:szCs w:val="32"/>
          <w:lang w:eastAsia="zh-CN"/>
        </w:rPr>
        <w:t>（</w:t>
      </w:r>
      <w:r>
        <w:rPr>
          <w:rFonts w:hint="eastAsia" w:ascii="CESI楷体-GB2312" w:hAnsi="CESI楷体-GB2312" w:eastAsia="CESI楷体-GB2312" w:cs="CESI楷体-GB2312"/>
          <w:b/>
          <w:bCs/>
          <w:color w:val="auto"/>
          <w:sz w:val="32"/>
          <w:szCs w:val="32"/>
          <w:lang w:val="en-US" w:eastAsia="zh-CN"/>
        </w:rPr>
        <w:t>二</w:t>
      </w:r>
      <w:r>
        <w:rPr>
          <w:rFonts w:hint="eastAsia" w:ascii="CESI楷体-GB2312" w:hAnsi="CESI楷体-GB2312" w:eastAsia="CESI楷体-GB2312" w:cs="CESI楷体-GB2312"/>
          <w:b/>
          <w:bCs/>
          <w:color w:val="auto"/>
          <w:sz w:val="32"/>
          <w:szCs w:val="32"/>
          <w:lang w:eastAsia="zh-CN"/>
        </w:rPr>
        <w:t>）</w:t>
      </w:r>
      <w:r>
        <w:rPr>
          <w:rFonts w:hint="eastAsia" w:ascii="CESI楷体-GB2312" w:hAnsi="CESI楷体-GB2312" w:eastAsia="CESI楷体-GB2312" w:cs="CESI楷体-GB2312"/>
          <w:b/>
          <w:bCs/>
          <w:color w:val="auto"/>
          <w:sz w:val="32"/>
          <w:szCs w:val="32"/>
        </w:rPr>
        <w:t>专项工作完成情况</w:t>
      </w:r>
    </w:p>
    <w:p w14:paraId="0C2C63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bookmarkStart w:id="2" w:name="OLE_LINK4"/>
      <w:r>
        <w:rPr>
          <w:rFonts w:hint="eastAsia" w:ascii="仿宋_GB2312" w:hAnsi="仿宋_GB2312" w:eastAsia="仿宋_GB2312" w:cs="仿宋_GB2312"/>
          <w:b/>
          <w:bCs/>
          <w:color w:val="auto"/>
          <w:kern w:val="2"/>
          <w:sz w:val="32"/>
          <w:szCs w:val="32"/>
          <w:lang w:val="en-US" w:eastAsia="zh-CN" w:bidi="ar-SA"/>
        </w:rPr>
        <w:t>1.配合市统计局完成房地产领域数据统计工作对接</w:t>
      </w:r>
      <w:bookmarkEnd w:id="2"/>
      <w:r>
        <w:rPr>
          <w:rFonts w:hint="eastAsia" w:ascii="仿宋_GB2312" w:hAnsi="仿宋_GB2312" w:eastAsia="仿宋_GB2312" w:cs="仿宋_GB2312"/>
          <w:b/>
          <w:bCs/>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与市统计局进行房地产领域工作对接，就房地产领域统计范围、指标含义、入退库管理及统计报表报送等情况进行了交流，并将存在问题进行了深入分析研讨，就促进房地产销售，增加重点监测企业增收，提出了建议，并采取了相应的措施，两项数据均有回升。</w:t>
      </w:r>
    </w:p>
    <w:p w14:paraId="4BB760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2.强化宣传教育，落实严格管理，规范个人买地建房。</w:t>
      </w:r>
      <w:r>
        <w:rPr>
          <w:rFonts w:hint="eastAsia" w:ascii="仿宋_GB2312" w:hAnsi="仿宋_GB2312" w:eastAsia="仿宋_GB2312" w:cs="仿宋_GB2312"/>
          <w:color w:val="auto"/>
          <w:sz w:val="32"/>
          <w:szCs w:val="32"/>
          <w:lang w:val="en-US" w:eastAsia="zh-CN"/>
        </w:rPr>
        <w:t>按照《自然资源部、住建部关于严查严防严管个人买地建房的通知》，做好对全市已建成个人买地建房项目的排查工作；对未建成的项目按照《城市房地产管理法》、《城市房地产开发条例》等规定，办理商品住房预售，进行现房销售监督管理。配合有关部门研究制定分类处置政策，开展督促检查，建立长效监管机制，共排查项目32个，未发现存在个人买地建房的情况。</w:t>
      </w:r>
    </w:p>
    <w:p w14:paraId="633AE51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auto"/>
          <w:sz w:val="32"/>
          <w:szCs w:val="32"/>
          <w:lang w:val="en-US" w:eastAsia="zh"/>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en-US" w:eastAsia="zh"/>
        </w:rPr>
        <w:t>房地产已供土地和在建项目摸排工作</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按照住建部、</w:t>
      </w:r>
      <w:r>
        <w:rPr>
          <w:rFonts w:hint="eastAsia" w:ascii="仿宋_GB2312" w:hAnsi="仿宋_GB2312" w:eastAsia="仿宋_GB2312" w:cs="仿宋_GB2312"/>
          <w:b w:val="0"/>
          <w:bCs w:val="0"/>
          <w:color w:val="auto"/>
          <w:kern w:val="0"/>
          <w:sz w:val="32"/>
          <w:szCs w:val="32"/>
          <w:lang w:val="en-US" w:eastAsia="zh-CN"/>
        </w:rPr>
        <w:t>自然资源部《关于对</w:t>
      </w:r>
      <w:r>
        <w:rPr>
          <w:rFonts w:hint="eastAsia" w:ascii="仿宋_GB2312" w:hAnsi="仿宋_GB2312" w:eastAsia="仿宋_GB2312" w:cs="仿宋_GB2312"/>
          <w:b w:val="0"/>
          <w:bCs w:val="0"/>
          <w:color w:val="auto"/>
          <w:kern w:val="0"/>
          <w:sz w:val="32"/>
          <w:szCs w:val="32"/>
          <w:lang w:val="en-US" w:eastAsia="zh"/>
        </w:rPr>
        <w:t>房地产已供土地和在建项目摸排工作</w:t>
      </w:r>
      <w:r>
        <w:rPr>
          <w:rFonts w:hint="eastAsia" w:ascii="仿宋_GB2312" w:hAnsi="仿宋_GB2312" w:eastAsia="仿宋_GB2312" w:cs="仿宋_GB2312"/>
          <w:b w:val="0"/>
          <w:bCs w:val="0"/>
          <w:color w:val="auto"/>
          <w:kern w:val="0"/>
          <w:sz w:val="32"/>
          <w:szCs w:val="32"/>
          <w:lang w:val="en-US" w:eastAsia="zh-CN"/>
        </w:rPr>
        <w:t>的通知》要求，</w:t>
      </w:r>
      <w:r>
        <w:rPr>
          <w:rFonts w:hint="default" w:ascii="仿宋_GB2312" w:hAnsi="仿宋_GB2312" w:eastAsia="仿宋_GB2312" w:cs="仿宋_GB2312"/>
          <w:b w:val="0"/>
          <w:bCs w:val="0"/>
          <w:color w:val="auto"/>
          <w:kern w:val="0"/>
          <w:sz w:val="32"/>
          <w:szCs w:val="32"/>
          <w:lang w:val="en-US" w:eastAsia="zh-CN"/>
        </w:rPr>
        <w:t>经过第一轮摸排，全市已</w:t>
      </w:r>
      <w:r>
        <w:rPr>
          <w:rFonts w:hint="eastAsia" w:ascii="仿宋_GB2312" w:hAnsi="仿宋_GB2312" w:eastAsia="仿宋_GB2312" w:cs="仿宋_GB2312"/>
          <w:b w:val="0"/>
          <w:bCs w:val="0"/>
          <w:color w:val="auto"/>
          <w:kern w:val="0"/>
          <w:sz w:val="32"/>
          <w:szCs w:val="32"/>
          <w:lang w:val="en-US" w:eastAsia="zh-CN"/>
        </w:rPr>
        <w:t>在房地产信息采集系统</w:t>
      </w:r>
      <w:r>
        <w:rPr>
          <w:rFonts w:hint="default" w:ascii="仿宋_GB2312" w:hAnsi="仿宋_GB2312" w:eastAsia="仿宋_GB2312" w:cs="仿宋_GB2312"/>
          <w:b w:val="0"/>
          <w:bCs w:val="0"/>
          <w:color w:val="auto"/>
          <w:kern w:val="0"/>
          <w:sz w:val="32"/>
          <w:szCs w:val="32"/>
          <w:lang w:val="en-US" w:eastAsia="zh-CN"/>
        </w:rPr>
        <w:t>上传</w:t>
      </w:r>
      <w:r>
        <w:rPr>
          <w:rFonts w:hint="eastAsia" w:ascii="仿宋_GB2312" w:hAnsi="仿宋_GB2312" w:eastAsia="仿宋_GB2312" w:cs="仿宋_GB2312"/>
          <w:b w:val="0"/>
          <w:bCs w:val="0"/>
          <w:color w:val="auto"/>
          <w:kern w:val="0"/>
          <w:sz w:val="32"/>
          <w:szCs w:val="32"/>
          <w:lang w:val="en-US" w:eastAsia="zh-CN"/>
        </w:rPr>
        <w:t>246</w:t>
      </w:r>
      <w:r>
        <w:rPr>
          <w:rFonts w:hint="default" w:ascii="仿宋_GB2312" w:hAnsi="仿宋_GB2312" w:eastAsia="仿宋_GB2312" w:cs="仿宋_GB2312"/>
          <w:b w:val="0"/>
          <w:bCs w:val="0"/>
          <w:color w:val="auto"/>
          <w:kern w:val="0"/>
          <w:sz w:val="32"/>
          <w:szCs w:val="32"/>
          <w:lang w:val="en-US" w:eastAsia="zh-CN"/>
        </w:rPr>
        <w:t>个项目信息</w:t>
      </w:r>
      <w:r>
        <w:rPr>
          <w:rFonts w:hint="eastAsia" w:ascii="仿宋_GB2312" w:hAnsi="仿宋_GB2312" w:eastAsia="仿宋_GB2312" w:cs="仿宋_GB2312"/>
          <w:b w:val="0"/>
          <w:bCs w:val="0"/>
          <w:color w:val="auto"/>
          <w:kern w:val="0"/>
          <w:sz w:val="32"/>
          <w:szCs w:val="32"/>
          <w:lang w:val="en-US" w:eastAsia="zh"/>
        </w:rPr>
        <w:t>，</w:t>
      </w:r>
      <w:r>
        <w:rPr>
          <w:rFonts w:hint="default" w:ascii="仿宋_GB2312" w:hAnsi="仿宋_GB2312" w:eastAsia="仿宋_GB2312" w:cs="仿宋_GB2312"/>
          <w:b w:val="0"/>
          <w:bCs w:val="0"/>
          <w:color w:val="auto"/>
          <w:kern w:val="0"/>
          <w:sz w:val="32"/>
          <w:szCs w:val="32"/>
          <w:lang w:val="en-US" w:eastAsia="zh-CN"/>
        </w:rPr>
        <w:t>后续每月10日</w:t>
      </w:r>
      <w:r>
        <w:rPr>
          <w:rFonts w:hint="eastAsia" w:ascii="仿宋_GB2312" w:hAnsi="仿宋_GB2312" w:eastAsia="仿宋_GB2312" w:cs="仿宋_GB2312"/>
          <w:b w:val="0"/>
          <w:bCs w:val="0"/>
          <w:color w:val="auto"/>
          <w:kern w:val="0"/>
          <w:sz w:val="32"/>
          <w:szCs w:val="32"/>
          <w:lang w:val="en-US" w:eastAsia="zh-CN"/>
        </w:rPr>
        <w:t>前各旗县区</w:t>
      </w:r>
      <w:r>
        <w:rPr>
          <w:rFonts w:hint="eastAsia" w:ascii="仿宋_GB2312" w:hAnsi="仿宋_GB2312" w:eastAsia="仿宋_GB2312" w:cs="仿宋_GB2312"/>
          <w:b w:val="0"/>
          <w:bCs w:val="0"/>
          <w:color w:val="auto"/>
          <w:sz w:val="32"/>
          <w:szCs w:val="32"/>
          <w:lang w:val="en-US" w:eastAsia="zh-CN"/>
        </w:rPr>
        <w:t>需要在系统中</w:t>
      </w:r>
      <w:r>
        <w:rPr>
          <w:rFonts w:hint="default" w:ascii="仿宋_GB2312" w:hAnsi="仿宋_GB2312" w:eastAsia="仿宋_GB2312" w:cs="仿宋_GB2312"/>
          <w:b w:val="0"/>
          <w:bCs w:val="0"/>
          <w:color w:val="auto"/>
          <w:sz w:val="32"/>
          <w:szCs w:val="32"/>
          <w:lang w:val="en-US" w:eastAsia="zh-CN"/>
        </w:rPr>
        <w:t>更新信息。</w:t>
      </w:r>
    </w:p>
    <w:p w14:paraId="25F899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4.信访解决情况。</w:t>
      </w:r>
      <w:r>
        <w:rPr>
          <w:rFonts w:hint="eastAsia" w:ascii="仿宋_GB2312" w:hAnsi="仿宋_GB2312" w:eastAsia="仿宋_GB2312" w:cs="仿宋_GB2312"/>
          <w:b w:val="0"/>
          <w:bCs w:val="0"/>
          <w:color w:val="auto"/>
          <w:sz w:val="32"/>
          <w:szCs w:val="32"/>
          <w:u w:val="none"/>
          <w:lang w:val="en-US" w:eastAsia="zh-CN"/>
        </w:rPr>
        <w:t>对信访局、12345、市委督查室等部门转办的40件信访案件给予调查核实、沟通解决并向信访人回复。</w:t>
      </w:r>
      <w:r>
        <w:rPr>
          <w:rFonts w:hint="eastAsia" w:ascii="仿宋_GB2312" w:hAnsi="仿宋_GB2312" w:eastAsia="仿宋_GB2312" w:cs="仿宋_GB2312"/>
          <w:color w:val="auto"/>
          <w:sz w:val="32"/>
          <w:szCs w:val="32"/>
          <w:lang w:val="en-US" w:eastAsia="zh-CN"/>
        </w:rPr>
        <w:t>完成中央巡视移交住建领域信访事项清单（第一批）8件、（第二批）1件、完成主席信箱交办信访件2件；完成住建厅转办电话投诉台账第一批3件、第二批3件。</w:t>
      </w:r>
    </w:p>
    <w:p w14:paraId="3AA2D81B">
      <w:pPr>
        <w:pStyle w:val="2"/>
      </w:pPr>
    </w:p>
    <w:p w14:paraId="08280283">
      <w:pPr>
        <w:pStyle w:val="5"/>
        <w:keepNext w:val="0"/>
        <w:keepLines w:val="0"/>
        <w:pageBreakBefore w:val="0"/>
        <w:widowControl/>
        <w:kinsoku/>
        <w:wordWrap/>
        <w:overflowPunct/>
        <w:topLinePunct w:val="0"/>
        <w:autoSpaceDE/>
        <w:autoSpaceDN/>
        <w:bidi w:val="0"/>
        <w:adjustRightInd/>
        <w:spacing w:before="0" w:after="0" w:line="560" w:lineRule="exact"/>
        <w:ind w:left="0" w:right="0"/>
        <w:jc w:val="center"/>
        <w:textAlignment w:val="auto"/>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单位决算情况说明</w:t>
      </w:r>
    </w:p>
    <w:p w14:paraId="4ED5BB2B">
      <w:pPr>
        <w:pStyle w:val="33"/>
        <w:keepNext w:val="0"/>
        <w:keepLines w:val="0"/>
        <w:pageBreakBefore w:val="0"/>
        <w:widowControl/>
        <w:kinsoku/>
        <w:wordWrap/>
        <w:overflowPunct/>
        <w:topLinePunct w:val="0"/>
        <w:autoSpaceDE/>
        <w:autoSpaceDN/>
        <w:bidi w:val="0"/>
        <w:adjustRightInd/>
        <w:spacing w:before="240" w:after="240" w:line="560" w:lineRule="exact"/>
        <w:ind w:firstLine="643"/>
        <w:jc w:val="left"/>
        <w:textAlignment w:val="auto"/>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3B5E06A3">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年度收入、支出决算总计均为</w:t>
      </w:r>
      <w:r>
        <w:rPr>
          <w:rFonts w:hint="eastAsia" w:ascii="仿宋_GB2312" w:hAnsi="仿宋_GB2312" w:eastAsia="仿宋_GB2312" w:cs="仿宋_GB2312"/>
          <w:kern w:val="0"/>
          <w:sz w:val="32"/>
          <w:szCs w:val="32"/>
          <w:u w:val="none"/>
          <w:lang w:eastAsia="en-US"/>
        </w:rPr>
        <w:t xml:space="preserve"> 758.65</w:t>
      </w:r>
      <w:r>
        <w:rPr>
          <w:rFonts w:hint="eastAsia" w:ascii="仿宋_GB2312" w:hAnsi="仿宋_GB2312" w:eastAsia="仿宋_GB2312" w:cs="仿宋_GB2312"/>
          <w:kern w:val="0"/>
          <w:sz w:val="32"/>
          <w:szCs w:val="32"/>
          <w:u w:val="none"/>
        </w:rPr>
        <w:t>万元。与年初预算相比，收、支总计各增加</w:t>
      </w:r>
      <w:r>
        <w:rPr>
          <w:rFonts w:hint="eastAsia" w:ascii="仿宋_GB2312" w:hAnsi="仿宋_GB2312" w:eastAsia="仿宋_GB2312" w:cs="仿宋_GB2312"/>
          <w:kern w:val="0"/>
          <w:sz w:val="32"/>
          <w:szCs w:val="32"/>
          <w:u w:val="none"/>
          <w:lang w:eastAsia="en-US"/>
        </w:rPr>
        <w:t xml:space="preserve"> 64.48</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eastAsia="en-US"/>
        </w:rPr>
        <w:t>9.29%</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val="en-US" w:eastAsia="zh-CN"/>
        </w:rPr>
        <w:t>2025年我单位新考录5人，人员增加，工资与五险一金支出增加</w:t>
      </w:r>
      <w:r>
        <w:rPr>
          <w:rFonts w:hint="eastAsia" w:ascii="仿宋_GB2312" w:hAnsi="仿宋_GB2312" w:eastAsia="仿宋_GB2312" w:cs="仿宋_GB2312"/>
          <w:kern w:val="0"/>
          <w:sz w:val="32"/>
          <w:szCs w:val="32"/>
          <w:u w:val="none"/>
        </w:rPr>
        <w:t>；与上年决算相比，收、支总计各减少</w:t>
      </w:r>
      <w:r>
        <w:rPr>
          <w:rFonts w:hint="eastAsia" w:ascii="仿宋_GB2312" w:hAnsi="仿宋_GB2312" w:eastAsia="仿宋_GB2312" w:cs="仿宋_GB2312"/>
          <w:kern w:val="0"/>
          <w:sz w:val="32"/>
          <w:szCs w:val="32"/>
          <w:u w:val="none"/>
          <w:lang w:eastAsia="en-US"/>
        </w:rPr>
        <w:t>67.18</w:t>
      </w:r>
      <w:r>
        <w:rPr>
          <w:rFonts w:hint="eastAsia" w:ascii="仿宋_GB2312" w:hAnsi="仿宋_GB2312" w:eastAsia="仿宋_GB2312" w:cs="仿宋_GB2312"/>
          <w:kern w:val="0"/>
          <w:sz w:val="32"/>
          <w:szCs w:val="32"/>
          <w:u w:val="none"/>
        </w:rPr>
        <w:t>万元，下降</w:t>
      </w:r>
      <w:r>
        <w:rPr>
          <w:rFonts w:hint="eastAsia" w:ascii="仿宋_GB2312" w:hAnsi="仿宋_GB2312" w:eastAsia="仿宋_GB2312" w:cs="仿宋_GB2312"/>
          <w:kern w:val="0"/>
          <w:sz w:val="32"/>
          <w:szCs w:val="32"/>
          <w:u w:val="none"/>
          <w:lang w:eastAsia="en-US"/>
        </w:rPr>
        <w:t>8.13%</w:t>
      </w:r>
      <w:r>
        <w:rPr>
          <w:rFonts w:hint="eastAsia" w:ascii="仿宋_GB2312" w:hAnsi="仿宋_GB2312" w:eastAsia="仿宋_GB2312" w:cs="仿宋_GB2312"/>
          <w:kern w:val="0"/>
          <w:sz w:val="32"/>
          <w:szCs w:val="32"/>
          <w:u w:val="none"/>
        </w:rPr>
        <w:t>。其中：</w:t>
      </w:r>
    </w:p>
    <w:p w14:paraId="5C518BCD">
      <w:pPr>
        <w:pStyle w:val="33"/>
        <w:keepNext w:val="0"/>
        <w:keepLines w:val="0"/>
        <w:pageBreakBefore w:val="0"/>
        <w:widowControl/>
        <w:kinsoku/>
        <w:wordWrap/>
        <w:overflowPunct/>
        <w:topLinePunct w:val="0"/>
        <w:autoSpaceDE/>
        <w:autoSpaceDN/>
        <w:bidi w:val="0"/>
        <w:adjustRightInd/>
        <w:spacing w:before="240" w:after="240" w:line="560" w:lineRule="exact"/>
        <w:ind w:firstLine="643"/>
        <w:jc w:val="left"/>
        <w:textAlignment w:val="auto"/>
        <w:rPr>
          <w:rFonts w:ascii="Times New Roman" w:hAnsi="Times New Roman" w:eastAsia="Times New Roman" w:cs="Times New Roman"/>
          <w:kern w:val="0"/>
          <w:sz w:val="24"/>
        </w:rPr>
      </w:pPr>
      <w:r>
        <w:rPr>
          <w:rFonts w:ascii="楷体" w:hAnsi="楷体" w:eastAsia="楷体" w:cs="楷体"/>
          <w:b/>
          <w:bCs/>
          <w:kern w:val="0"/>
          <w:sz w:val="32"/>
          <w:szCs w:val="32"/>
        </w:rPr>
        <w:t>（一）收入决算</w:t>
      </w:r>
      <w:r>
        <w:rPr>
          <w:rFonts w:ascii="楷体" w:hAnsi="楷体" w:eastAsia="楷体" w:cs="楷体"/>
          <w:b/>
          <w:bCs/>
          <w:kern w:val="0"/>
          <w:sz w:val="32"/>
          <w:szCs w:val="32"/>
          <w:u w:val="none"/>
        </w:rPr>
        <w:t>总计</w:t>
      </w:r>
      <w:r>
        <w:rPr>
          <w:rFonts w:eastAsia="Times New Roman"/>
          <w:b/>
          <w:bCs/>
          <w:kern w:val="0"/>
          <w:sz w:val="32"/>
          <w:szCs w:val="32"/>
          <w:u w:val="none"/>
          <w:lang w:eastAsia="en-US"/>
        </w:rPr>
        <w:t xml:space="preserve"> 758.65</w:t>
      </w:r>
      <w:r>
        <w:rPr>
          <w:rFonts w:ascii="楷体" w:hAnsi="楷体" w:eastAsia="楷体" w:cs="楷体"/>
          <w:b/>
          <w:bCs/>
          <w:kern w:val="0"/>
          <w:sz w:val="32"/>
          <w:szCs w:val="32"/>
          <w:u w:val="none"/>
        </w:rPr>
        <w:t>万</w:t>
      </w:r>
      <w:r>
        <w:rPr>
          <w:rFonts w:ascii="楷体" w:hAnsi="楷体" w:eastAsia="楷体" w:cs="楷体"/>
          <w:b/>
          <w:bCs/>
          <w:kern w:val="0"/>
          <w:sz w:val="32"/>
          <w:szCs w:val="32"/>
        </w:rPr>
        <w:t>元。包括：</w:t>
      </w:r>
    </w:p>
    <w:p w14:paraId="0A7627F3">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1.</w:t>
      </w:r>
      <w:r>
        <w:rPr>
          <w:rFonts w:hint="eastAsia" w:ascii="仿宋_GB2312" w:hAnsi="仿宋_GB2312" w:eastAsia="仿宋_GB2312" w:cs="仿宋_GB2312"/>
          <w:kern w:val="0"/>
          <w:sz w:val="32"/>
          <w:szCs w:val="32"/>
          <w:u w:val="none"/>
        </w:rPr>
        <w:t>本年收入决算合计</w:t>
      </w:r>
      <w:r>
        <w:rPr>
          <w:rFonts w:hint="eastAsia" w:ascii="仿宋_GB2312" w:hAnsi="仿宋_GB2312" w:eastAsia="仿宋_GB2312" w:cs="仿宋_GB2312"/>
          <w:kern w:val="0"/>
          <w:sz w:val="32"/>
          <w:szCs w:val="32"/>
          <w:u w:val="none"/>
          <w:lang w:eastAsia="en-US"/>
        </w:rPr>
        <w:t xml:space="preserve"> 758.49</w:t>
      </w:r>
      <w:r>
        <w:rPr>
          <w:rFonts w:hint="eastAsia" w:ascii="仿宋_GB2312" w:hAnsi="仿宋_GB2312" w:eastAsia="仿宋_GB2312" w:cs="仿宋_GB2312"/>
          <w:kern w:val="0"/>
          <w:sz w:val="32"/>
          <w:szCs w:val="32"/>
          <w:u w:val="none"/>
        </w:rPr>
        <w:t>万元。与上年决算相比，减少</w:t>
      </w:r>
      <w:r>
        <w:rPr>
          <w:rFonts w:hint="eastAsia" w:ascii="仿宋_GB2312" w:hAnsi="仿宋_GB2312" w:eastAsia="仿宋_GB2312" w:cs="仿宋_GB2312"/>
          <w:kern w:val="0"/>
          <w:sz w:val="32"/>
          <w:szCs w:val="32"/>
          <w:u w:val="none"/>
          <w:lang w:eastAsia="en-US"/>
        </w:rPr>
        <w:t>67.18</w:t>
      </w:r>
      <w:r>
        <w:rPr>
          <w:rFonts w:hint="eastAsia" w:ascii="仿宋_GB2312" w:hAnsi="仿宋_GB2312" w:eastAsia="仿宋_GB2312" w:cs="仿宋_GB2312"/>
          <w:kern w:val="0"/>
          <w:sz w:val="32"/>
          <w:szCs w:val="32"/>
          <w:u w:val="none"/>
        </w:rPr>
        <w:t>万元，下降</w:t>
      </w:r>
      <w:r>
        <w:rPr>
          <w:rFonts w:hint="eastAsia" w:ascii="仿宋_GB2312" w:hAnsi="仿宋_GB2312" w:eastAsia="仿宋_GB2312" w:cs="仿宋_GB2312"/>
          <w:kern w:val="0"/>
          <w:sz w:val="32"/>
          <w:szCs w:val="32"/>
          <w:u w:val="none"/>
          <w:lang w:eastAsia="en-US"/>
        </w:rPr>
        <w:t>8.14%</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val="en-US" w:eastAsia="zh-CN"/>
        </w:rPr>
        <w:t>2025年4月开始，在职人员其他项工资不在按月进行发放、退休人员交通补贴和通讯补贴停发</w:t>
      </w:r>
      <w:r>
        <w:rPr>
          <w:rFonts w:hint="eastAsia" w:ascii="仿宋_GB2312" w:hAnsi="仿宋_GB2312" w:eastAsia="仿宋_GB2312" w:cs="仿宋_GB2312"/>
          <w:kern w:val="0"/>
          <w:sz w:val="32"/>
          <w:szCs w:val="32"/>
          <w:u w:val="none"/>
        </w:rPr>
        <w:t>。</w:t>
      </w:r>
    </w:p>
    <w:p w14:paraId="3C09446E">
      <w:pPr>
        <w:keepNext w:val="0"/>
        <w:keepLines w:val="0"/>
        <w:pageBreakBefore w:val="0"/>
        <w:widowControl/>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2.</w:t>
      </w:r>
      <w:r>
        <w:rPr>
          <w:rFonts w:hint="eastAsia" w:ascii="仿宋_GB2312" w:hAnsi="仿宋_GB2312" w:eastAsia="仿宋_GB2312" w:cs="仿宋_GB2312"/>
          <w:kern w:val="0"/>
          <w:sz w:val="32"/>
          <w:szCs w:val="32"/>
          <w:u w:val="none"/>
        </w:rPr>
        <w:t>使用非财政拨款结余（含专用结余）</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万元。与上年决算相比，增加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color w:val="auto"/>
          <w:sz w:val="32"/>
          <w:szCs w:val="32"/>
          <w:highlight w:val="none"/>
          <w:u w:val="none"/>
          <w:lang w:val="en-US" w:eastAsia="zh-CN"/>
        </w:rPr>
        <w:t>我单位无</w:t>
      </w:r>
      <w:r>
        <w:rPr>
          <w:rFonts w:hint="eastAsia" w:ascii="仿宋_GB2312" w:hAnsi="仿宋_GB2312" w:eastAsia="仿宋_GB2312" w:cs="仿宋_GB2312"/>
          <w:color w:val="auto"/>
          <w:sz w:val="32"/>
          <w:szCs w:val="32"/>
          <w:highlight w:val="none"/>
          <w:u w:val="none"/>
        </w:rPr>
        <w:t>使用非财政拨款结余</w:t>
      </w:r>
      <w:r>
        <w:rPr>
          <w:rFonts w:hint="eastAsia" w:ascii="仿宋_GB2312" w:hAnsi="仿宋_GB2312" w:eastAsia="仿宋_GB2312" w:cs="仿宋_GB2312"/>
          <w:kern w:val="0"/>
          <w:sz w:val="32"/>
          <w:szCs w:val="32"/>
          <w:u w:val="none"/>
        </w:rPr>
        <w:t>。</w:t>
      </w:r>
    </w:p>
    <w:p w14:paraId="458F59E8">
      <w:pPr>
        <w:pStyle w:val="33"/>
        <w:keepNext w:val="0"/>
        <w:keepLines w:val="0"/>
        <w:pageBreakBefore w:val="0"/>
        <w:widowControl/>
        <w:kinsoku/>
        <w:wordWrap/>
        <w:overflowPunct/>
        <w:topLinePunct w:val="0"/>
        <w:autoSpaceDE/>
        <w:autoSpaceDN/>
        <w:bidi w:val="0"/>
        <w:adjustRightInd/>
        <w:snapToGrid w:val="0"/>
        <w:spacing w:before="240" w:after="240" w:line="560" w:lineRule="exact"/>
        <w:ind w:firstLine="64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3.</w:t>
      </w:r>
      <w:r>
        <w:rPr>
          <w:rFonts w:hint="eastAsia" w:ascii="仿宋_GB2312" w:hAnsi="仿宋_GB2312" w:eastAsia="仿宋_GB2312" w:cs="仿宋_GB2312"/>
          <w:kern w:val="0"/>
          <w:sz w:val="32"/>
          <w:szCs w:val="32"/>
          <w:u w:val="none"/>
        </w:rPr>
        <w:t>年初结转和结余</w:t>
      </w:r>
      <w:r>
        <w:rPr>
          <w:rFonts w:hint="eastAsia" w:ascii="仿宋_GB2312" w:hAnsi="仿宋_GB2312" w:eastAsia="仿宋_GB2312" w:cs="仿宋_GB2312"/>
          <w:kern w:val="0"/>
          <w:sz w:val="32"/>
          <w:szCs w:val="32"/>
          <w:u w:val="none"/>
          <w:lang w:eastAsia="en-US"/>
        </w:rPr>
        <w:t xml:space="preserve"> 0.16</w:t>
      </w:r>
      <w:r>
        <w:rPr>
          <w:rFonts w:hint="eastAsia" w:ascii="仿宋_GB2312" w:hAnsi="仿宋_GB2312" w:eastAsia="仿宋_GB2312" w:cs="仿宋_GB2312"/>
          <w:kern w:val="0"/>
          <w:sz w:val="32"/>
          <w:szCs w:val="32"/>
          <w:u w:val="none"/>
        </w:rPr>
        <w:t>万元。与上年决算相比，增加</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sz w:val="32"/>
          <w:szCs w:val="32"/>
          <w:highlight w:val="none"/>
          <w:u w:val="none"/>
          <w:lang w:val="en-US" w:eastAsia="zh-CN"/>
        </w:rPr>
        <w:t>无变动,以前年度结转结余有误</w:t>
      </w:r>
      <w:r>
        <w:rPr>
          <w:rFonts w:hint="eastAsia" w:ascii="仿宋_GB2312" w:hAnsi="仿宋_GB2312" w:eastAsia="仿宋_GB2312" w:cs="仿宋_GB2312"/>
          <w:kern w:val="0"/>
          <w:sz w:val="32"/>
          <w:szCs w:val="32"/>
          <w:u w:val="none"/>
        </w:rPr>
        <w:t>。</w:t>
      </w:r>
    </w:p>
    <w:p w14:paraId="51EB120C">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楷体" w:hAnsi="楷体" w:eastAsia="楷体" w:cs="楷体"/>
          <w:b/>
          <w:bCs/>
          <w:kern w:val="0"/>
          <w:sz w:val="32"/>
          <w:szCs w:val="32"/>
          <w:u w:val="none"/>
        </w:rPr>
        <w:t>（二）支出决算总计</w:t>
      </w:r>
      <w:r>
        <w:rPr>
          <w:rFonts w:eastAsia="Times New Roman"/>
          <w:b/>
          <w:bCs/>
          <w:kern w:val="0"/>
          <w:sz w:val="32"/>
          <w:szCs w:val="32"/>
          <w:u w:val="none"/>
          <w:lang w:eastAsia="en-US"/>
        </w:rPr>
        <w:t xml:space="preserve"> 758.65</w:t>
      </w:r>
      <w:r>
        <w:rPr>
          <w:rFonts w:ascii="楷体" w:hAnsi="楷体" w:eastAsia="楷体" w:cs="楷体"/>
          <w:b/>
          <w:bCs/>
          <w:kern w:val="0"/>
          <w:sz w:val="32"/>
          <w:szCs w:val="32"/>
          <w:u w:val="none"/>
        </w:rPr>
        <w:t>万元。包括：</w:t>
      </w:r>
    </w:p>
    <w:p w14:paraId="1C9C8305">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1.</w:t>
      </w:r>
      <w:r>
        <w:rPr>
          <w:rFonts w:hint="eastAsia" w:ascii="仿宋_GB2312" w:hAnsi="仿宋_GB2312" w:eastAsia="仿宋_GB2312" w:cs="仿宋_GB2312"/>
          <w:kern w:val="0"/>
          <w:sz w:val="32"/>
          <w:szCs w:val="32"/>
          <w:u w:val="none"/>
        </w:rPr>
        <w:t>本年支出决算合计</w:t>
      </w:r>
      <w:r>
        <w:rPr>
          <w:rFonts w:hint="eastAsia" w:ascii="仿宋_GB2312" w:hAnsi="仿宋_GB2312" w:eastAsia="仿宋_GB2312" w:cs="仿宋_GB2312"/>
          <w:kern w:val="0"/>
          <w:sz w:val="32"/>
          <w:szCs w:val="32"/>
          <w:u w:val="none"/>
          <w:lang w:eastAsia="en-US"/>
        </w:rPr>
        <w:t xml:space="preserve"> 758.49</w:t>
      </w:r>
      <w:r>
        <w:rPr>
          <w:rFonts w:hint="eastAsia" w:ascii="仿宋_GB2312" w:hAnsi="仿宋_GB2312" w:eastAsia="仿宋_GB2312" w:cs="仿宋_GB2312"/>
          <w:kern w:val="0"/>
          <w:sz w:val="32"/>
          <w:szCs w:val="32"/>
          <w:u w:val="none"/>
        </w:rPr>
        <w:t>万元。与上年决算相比，减少</w:t>
      </w:r>
      <w:r>
        <w:rPr>
          <w:rFonts w:hint="eastAsia" w:ascii="仿宋_GB2312" w:hAnsi="仿宋_GB2312" w:eastAsia="仿宋_GB2312" w:cs="仿宋_GB2312"/>
          <w:kern w:val="0"/>
          <w:sz w:val="32"/>
          <w:szCs w:val="32"/>
          <w:u w:val="none"/>
          <w:lang w:eastAsia="en-US"/>
        </w:rPr>
        <w:t>67.18</w:t>
      </w:r>
      <w:r>
        <w:rPr>
          <w:rFonts w:hint="eastAsia" w:ascii="仿宋_GB2312" w:hAnsi="仿宋_GB2312" w:eastAsia="仿宋_GB2312" w:cs="仿宋_GB2312"/>
          <w:kern w:val="0"/>
          <w:sz w:val="32"/>
          <w:szCs w:val="32"/>
          <w:u w:val="none"/>
        </w:rPr>
        <w:t>万元，下降</w:t>
      </w:r>
      <w:r>
        <w:rPr>
          <w:rFonts w:hint="eastAsia" w:ascii="仿宋_GB2312" w:hAnsi="仿宋_GB2312" w:eastAsia="仿宋_GB2312" w:cs="仿宋_GB2312"/>
          <w:kern w:val="0"/>
          <w:sz w:val="32"/>
          <w:szCs w:val="32"/>
          <w:u w:val="none"/>
          <w:lang w:eastAsia="en-US"/>
        </w:rPr>
        <w:t>8.14%</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val="en-US" w:eastAsia="zh-CN"/>
        </w:rPr>
        <w:t>2025年4月开始，在职人员其他项工资不在按月进行发放、退休人员交通补贴和通讯补贴停发</w:t>
      </w:r>
      <w:r>
        <w:rPr>
          <w:rFonts w:hint="eastAsia" w:ascii="仿宋_GB2312" w:hAnsi="仿宋_GB2312" w:eastAsia="仿宋_GB2312" w:cs="仿宋_GB2312"/>
          <w:kern w:val="0"/>
          <w:sz w:val="32"/>
          <w:szCs w:val="32"/>
          <w:u w:val="none"/>
        </w:rPr>
        <w:t>。</w:t>
      </w:r>
    </w:p>
    <w:p w14:paraId="615C907B">
      <w:pPr>
        <w:pStyle w:val="10"/>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2.</w:t>
      </w:r>
      <w:r>
        <w:rPr>
          <w:rFonts w:hint="eastAsia" w:ascii="仿宋_GB2312" w:hAnsi="仿宋_GB2312" w:eastAsia="仿宋_GB2312" w:cs="仿宋_GB2312"/>
          <w:kern w:val="0"/>
          <w:sz w:val="32"/>
          <w:szCs w:val="32"/>
          <w:u w:val="none"/>
        </w:rPr>
        <w:t>结余分配</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万元。结余分配事项：</w:t>
      </w:r>
      <w:r>
        <w:rPr>
          <w:rFonts w:hint="eastAsia" w:ascii="仿宋_GB2312" w:hAnsi="仿宋_GB2312" w:eastAsia="仿宋_GB2312" w:cs="仿宋_GB2312"/>
          <w:color w:val="auto"/>
          <w:kern w:val="2"/>
          <w:sz w:val="32"/>
          <w:szCs w:val="32"/>
          <w:u w:val="none"/>
          <w:lang w:eastAsia="zh-CN"/>
        </w:rPr>
        <w:t>我单位无结余分配事项</w:t>
      </w:r>
      <w:r>
        <w:rPr>
          <w:rFonts w:hint="eastAsia" w:ascii="仿宋_GB2312" w:hAnsi="仿宋_GB2312" w:eastAsia="仿宋_GB2312" w:cs="仿宋_GB2312"/>
          <w:kern w:val="0"/>
          <w:sz w:val="32"/>
          <w:szCs w:val="32"/>
          <w:u w:val="none"/>
        </w:rPr>
        <w:t>。与上年决算相比，增加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color w:val="auto"/>
          <w:sz w:val="32"/>
          <w:szCs w:val="32"/>
          <w:u w:val="none"/>
          <w:lang w:val="en-US" w:eastAsia="zh-CN"/>
        </w:rPr>
        <w:t>我单位本年无结余分配支出</w:t>
      </w:r>
      <w:r>
        <w:rPr>
          <w:rFonts w:hint="eastAsia" w:ascii="仿宋_GB2312" w:hAnsi="仿宋_GB2312" w:eastAsia="仿宋_GB2312" w:cs="仿宋_GB2312"/>
          <w:kern w:val="0"/>
          <w:sz w:val="32"/>
          <w:szCs w:val="32"/>
          <w:u w:val="none"/>
        </w:rPr>
        <w:t>。</w:t>
      </w:r>
    </w:p>
    <w:p w14:paraId="45296B28">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3.</w:t>
      </w:r>
      <w:r>
        <w:rPr>
          <w:rFonts w:hint="eastAsia" w:ascii="仿宋_GB2312" w:hAnsi="仿宋_GB2312" w:eastAsia="仿宋_GB2312" w:cs="仿宋_GB2312"/>
          <w:kern w:val="0"/>
          <w:sz w:val="32"/>
          <w:szCs w:val="32"/>
          <w:u w:val="none"/>
        </w:rPr>
        <w:t>年末结转和结余</w:t>
      </w:r>
      <w:r>
        <w:rPr>
          <w:rFonts w:hint="eastAsia" w:ascii="仿宋_GB2312" w:hAnsi="仿宋_GB2312" w:eastAsia="仿宋_GB2312" w:cs="仿宋_GB2312"/>
          <w:kern w:val="0"/>
          <w:sz w:val="32"/>
          <w:szCs w:val="32"/>
          <w:u w:val="none"/>
          <w:lang w:eastAsia="en-US"/>
        </w:rPr>
        <w:t>0.16</w:t>
      </w:r>
      <w:r>
        <w:rPr>
          <w:rFonts w:hint="eastAsia" w:ascii="仿宋_GB2312" w:hAnsi="仿宋_GB2312" w:eastAsia="仿宋_GB2312" w:cs="仿宋_GB2312"/>
          <w:kern w:val="0"/>
          <w:sz w:val="32"/>
          <w:szCs w:val="32"/>
          <w:u w:val="none"/>
        </w:rPr>
        <w:t>万元。结转和结余事项：</w:t>
      </w:r>
      <w:r>
        <w:rPr>
          <w:rFonts w:hint="eastAsia" w:ascii="仿宋_GB2312" w:hAnsi="仿宋_GB2312" w:eastAsia="仿宋_GB2312" w:cs="仿宋_GB2312"/>
          <w:color w:val="auto"/>
          <w:kern w:val="2"/>
          <w:sz w:val="32"/>
          <w:szCs w:val="32"/>
          <w:u w:val="none"/>
          <w:lang w:eastAsia="zh-CN"/>
        </w:rPr>
        <w:t>我单位本年无</w:t>
      </w:r>
      <w:r>
        <w:rPr>
          <w:rFonts w:hint="eastAsia" w:ascii="仿宋_GB2312" w:hAnsi="仿宋_GB2312" w:eastAsia="仿宋_GB2312" w:cs="仿宋_GB2312"/>
          <w:kern w:val="2"/>
          <w:sz w:val="32"/>
          <w:szCs w:val="32"/>
          <w:u w:val="none"/>
        </w:rPr>
        <w:t>结转和结余事项</w:t>
      </w:r>
      <w:r>
        <w:rPr>
          <w:rFonts w:hint="eastAsia" w:ascii="仿宋_GB2312" w:hAnsi="仿宋_GB2312" w:eastAsia="仿宋_GB2312" w:cs="仿宋_GB2312"/>
          <w:kern w:val="0"/>
          <w:sz w:val="32"/>
          <w:szCs w:val="32"/>
          <w:u w:val="none"/>
        </w:rPr>
        <w:t>。与上年决算相比，增加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万元，增长0</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eastAsia="zh-CN"/>
        </w:rPr>
        <w:t>我单位本年无变动</w:t>
      </w:r>
      <w:r>
        <w:rPr>
          <w:rFonts w:hint="eastAsia" w:ascii="仿宋_GB2312" w:hAnsi="仿宋_GB2312" w:eastAsia="仿宋_GB2312" w:cs="仿宋_GB2312"/>
          <w:kern w:val="0"/>
          <w:sz w:val="32"/>
          <w:szCs w:val="32"/>
          <w:u w:val="none"/>
        </w:rPr>
        <w:t>。</w:t>
      </w:r>
    </w:p>
    <w:p w14:paraId="52CB545A">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二、收入决算情况说明</w:t>
      </w:r>
    </w:p>
    <w:p w14:paraId="2C0AA89D">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年度本年收入决算合计</w:t>
      </w:r>
      <w:r>
        <w:rPr>
          <w:rFonts w:hint="eastAsia" w:ascii="仿宋_GB2312" w:hAnsi="仿宋_GB2312" w:eastAsia="仿宋_GB2312" w:cs="仿宋_GB2312"/>
          <w:kern w:val="0"/>
          <w:sz w:val="32"/>
          <w:szCs w:val="32"/>
          <w:u w:val="none"/>
          <w:lang w:eastAsia="en-US"/>
        </w:rPr>
        <w:t xml:space="preserve"> 758.49</w:t>
      </w:r>
      <w:r>
        <w:rPr>
          <w:rFonts w:hint="eastAsia" w:ascii="仿宋_GB2312" w:hAnsi="仿宋_GB2312" w:eastAsia="仿宋_GB2312" w:cs="仿宋_GB2312"/>
          <w:kern w:val="0"/>
          <w:sz w:val="32"/>
          <w:szCs w:val="32"/>
          <w:u w:val="none"/>
        </w:rPr>
        <w:t>万元，其中：</w:t>
      </w:r>
    </w:p>
    <w:p w14:paraId="12791A72">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一般公共预算财政拨款收入</w:t>
      </w:r>
      <w:r>
        <w:rPr>
          <w:rFonts w:hint="eastAsia" w:ascii="仿宋_GB2312" w:hAnsi="仿宋_GB2312" w:eastAsia="仿宋_GB2312" w:cs="仿宋_GB2312"/>
          <w:kern w:val="0"/>
          <w:sz w:val="32"/>
          <w:szCs w:val="32"/>
          <w:u w:val="none"/>
          <w:lang w:eastAsia="en-US"/>
        </w:rPr>
        <w:t>758.49</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100.00%</w:t>
      </w:r>
      <w:r>
        <w:rPr>
          <w:rFonts w:hint="eastAsia" w:ascii="仿宋_GB2312" w:hAnsi="仿宋_GB2312" w:eastAsia="仿宋_GB2312" w:cs="仿宋_GB2312"/>
          <w:kern w:val="0"/>
          <w:sz w:val="32"/>
          <w:szCs w:val="32"/>
          <w:u w:val="none"/>
        </w:rPr>
        <w:t>；</w:t>
      </w:r>
    </w:p>
    <w:p w14:paraId="1BE9783C">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政府性基金预算财政拨款收入</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586DAC84">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国有资本经营预算财政拨款收入</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0F703CA8">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上级补助收入</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7FC2A1F0">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事业收入</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6844D00C">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经营收入</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095CD826">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附属单位上缴收入</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7DF94F3F">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其他收入</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w:t>
      </w:r>
    </w:p>
    <w:p w14:paraId="2832B1D7">
      <w:pPr>
        <w:widowControl/>
        <w:spacing w:before="240" w:after="240"/>
        <w:rPr>
          <w:rFonts w:ascii="Times New Roman" w:hAnsi="Times New Roman" w:eastAsia="Times New Roman" w:cs="Times New Roman"/>
          <w:kern w:val="0"/>
          <w:sz w:val="24"/>
        </w:rPr>
      </w:pPr>
    </w:p>
    <w:p w14:paraId="47BD29A2">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pict>
          <v:shape id="_x0000_i1025" o:spt="75" type="#_x0000_t75" style="height:274.2pt;width:438.75pt;" filled="f" o:preferrelative="t" stroked="f" coordsize="21600,21600">
            <v:path/>
            <v:fill on="f" focussize="0,0"/>
            <v:stroke on="f"/>
            <v:imagedata r:id="rId6" o:title=""/>
            <o:lock v:ext="edit" aspectratio="t"/>
            <w10:wrap type="none"/>
            <w10:anchorlock/>
          </v:shape>
        </w:pict>
      </w:r>
      <w:r>
        <w:rPr>
          <w:rFonts w:ascii="Times New Roman" w:hAnsi="Times New Roman" w:eastAsia="Times New Roman" w:cs="Times New Roman"/>
          <w:kern w:val="0"/>
          <w:sz w:val="24"/>
        </w:rPr>
        <w:t xml:space="preserve">   </w:t>
      </w:r>
    </w:p>
    <w:p w14:paraId="3BA17580">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029C3F93">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三、支出决算情况说明</w:t>
      </w:r>
    </w:p>
    <w:p w14:paraId="211C5F1F">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内蒙古自治区巴彦淖尔市房屋产权交易中心</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年度本年支出决算合计</w:t>
      </w:r>
      <w:r>
        <w:rPr>
          <w:rFonts w:hint="eastAsia" w:ascii="仿宋_GB2312" w:hAnsi="仿宋_GB2312" w:eastAsia="仿宋_GB2312" w:cs="仿宋_GB2312"/>
          <w:kern w:val="0"/>
          <w:sz w:val="32"/>
          <w:szCs w:val="32"/>
          <w:u w:val="none"/>
          <w:lang w:eastAsia="en-US"/>
        </w:rPr>
        <w:t>758.49</w:t>
      </w:r>
      <w:r>
        <w:rPr>
          <w:rFonts w:hint="eastAsia" w:ascii="仿宋_GB2312" w:hAnsi="仿宋_GB2312" w:eastAsia="仿宋_GB2312" w:cs="仿宋_GB2312"/>
          <w:kern w:val="0"/>
          <w:sz w:val="32"/>
          <w:szCs w:val="32"/>
          <w:u w:val="none"/>
        </w:rPr>
        <w:t>万元，其中：</w:t>
      </w:r>
    </w:p>
    <w:p w14:paraId="68C0D631">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基本支出</w:t>
      </w:r>
      <w:r>
        <w:rPr>
          <w:rFonts w:hint="eastAsia" w:ascii="仿宋_GB2312" w:hAnsi="仿宋_GB2312" w:eastAsia="仿宋_GB2312" w:cs="仿宋_GB2312"/>
          <w:kern w:val="0"/>
          <w:sz w:val="32"/>
          <w:szCs w:val="32"/>
          <w:u w:val="none"/>
          <w:lang w:eastAsia="en-US"/>
        </w:rPr>
        <w:t xml:space="preserve"> 748.93</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98.74%</w:t>
      </w:r>
      <w:r>
        <w:rPr>
          <w:rFonts w:hint="eastAsia" w:ascii="仿宋_GB2312" w:hAnsi="仿宋_GB2312" w:eastAsia="仿宋_GB2312" w:cs="仿宋_GB2312"/>
          <w:kern w:val="0"/>
          <w:sz w:val="32"/>
          <w:szCs w:val="32"/>
          <w:u w:val="none"/>
        </w:rPr>
        <w:t>；</w:t>
      </w:r>
    </w:p>
    <w:p w14:paraId="1F744897">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项目支出</w:t>
      </w:r>
      <w:r>
        <w:rPr>
          <w:rFonts w:hint="eastAsia" w:ascii="仿宋_GB2312" w:hAnsi="仿宋_GB2312" w:eastAsia="仿宋_GB2312" w:cs="仿宋_GB2312"/>
          <w:kern w:val="0"/>
          <w:sz w:val="32"/>
          <w:szCs w:val="32"/>
          <w:u w:val="none"/>
          <w:lang w:eastAsia="en-US"/>
        </w:rPr>
        <w:t xml:space="preserve"> 9.56</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1.26%</w:t>
      </w:r>
      <w:r>
        <w:rPr>
          <w:rFonts w:hint="eastAsia" w:ascii="仿宋_GB2312" w:hAnsi="仿宋_GB2312" w:eastAsia="仿宋_GB2312" w:cs="仿宋_GB2312"/>
          <w:kern w:val="0"/>
          <w:sz w:val="32"/>
          <w:szCs w:val="32"/>
          <w:u w:val="none"/>
        </w:rPr>
        <w:t>；</w:t>
      </w:r>
    </w:p>
    <w:p w14:paraId="5426ACDA">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上缴上级支出</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7236A223">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经营支出</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w:t>
      </w:r>
    </w:p>
    <w:p w14:paraId="2313D2D3">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对附属单位补助支出</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p>
    <w:p w14:paraId="6CA690FD">
      <w:pPr>
        <w:widowControl/>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pict>
          <v:shape id="_x0000_i1026" o:spt="75" type="#_x0000_t75" style="height:293.5pt;width:469.6pt;" filled="f" o:preferrelative="t" stroked="f" coordsize="21600,21600">
            <v:path/>
            <v:fill on="f" focussize="0,0"/>
            <v:stroke on="f"/>
            <v:imagedata r:id="rId7" o:title=""/>
            <o:lock v:ext="edit" aspectratio="t"/>
            <w10:wrap type="none"/>
            <w10:anchorlock/>
          </v:shape>
        </w:pict>
      </w:r>
      <w:r>
        <w:rPr>
          <w:rFonts w:ascii="Times New Roman" w:hAnsi="Times New Roman" w:eastAsia="Times New Roman" w:cs="Times New Roman"/>
          <w:kern w:val="0"/>
          <w:sz w:val="24"/>
        </w:rPr>
        <w:t xml:space="preserve">   </w:t>
      </w:r>
    </w:p>
    <w:p w14:paraId="59F64D6D">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00A25BCE">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四、财政拨款收入支出决算总体情况说明</w:t>
      </w:r>
    </w:p>
    <w:p w14:paraId="68A18E66">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年度财政拨款收入、支出决算总计均为</w:t>
      </w:r>
      <w:r>
        <w:rPr>
          <w:rFonts w:hint="eastAsia" w:ascii="仿宋_GB2312" w:hAnsi="仿宋_GB2312" w:eastAsia="仿宋_GB2312" w:cs="仿宋_GB2312"/>
          <w:kern w:val="0"/>
          <w:sz w:val="32"/>
          <w:szCs w:val="32"/>
          <w:u w:val="none"/>
          <w:lang w:eastAsia="en-US"/>
        </w:rPr>
        <w:t xml:space="preserve"> 758.49</w:t>
      </w:r>
      <w:r>
        <w:rPr>
          <w:rFonts w:hint="eastAsia" w:ascii="仿宋_GB2312" w:hAnsi="仿宋_GB2312" w:eastAsia="仿宋_GB2312" w:cs="仿宋_GB2312"/>
          <w:kern w:val="0"/>
          <w:sz w:val="32"/>
          <w:szCs w:val="32"/>
          <w:u w:val="none"/>
        </w:rPr>
        <w:t>万元，与年初预算相比，收、支总计各增加</w:t>
      </w:r>
      <w:r>
        <w:rPr>
          <w:rFonts w:hint="eastAsia" w:ascii="仿宋_GB2312" w:hAnsi="仿宋_GB2312" w:eastAsia="仿宋_GB2312" w:cs="仿宋_GB2312"/>
          <w:kern w:val="0"/>
          <w:sz w:val="32"/>
          <w:szCs w:val="32"/>
          <w:u w:val="none"/>
          <w:lang w:eastAsia="en-US"/>
        </w:rPr>
        <w:t xml:space="preserve"> 64.32</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eastAsia="en-US"/>
        </w:rPr>
        <w:t>9.27%</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val="en-US" w:eastAsia="zh-CN"/>
        </w:rPr>
        <w:t>2025年我单位新考录5人，人员增加，工资与五险一金支出增加</w:t>
      </w:r>
      <w:r>
        <w:rPr>
          <w:rFonts w:hint="eastAsia" w:ascii="仿宋_GB2312" w:hAnsi="仿宋_GB2312" w:eastAsia="仿宋_GB2312" w:cs="仿宋_GB2312"/>
          <w:kern w:val="0"/>
          <w:sz w:val="32"/>
          <w:szCs w:val="32"/>
          <w:u w:val="none"/>
        </w:rPr>
        <w:t>；与上年决算相比，收、支总计各减</w:t>
      </w:r>
      <w:r>
        <w:rPr>
          <w:rFonts w:hint="eastAsia" w:ascii="仿宋_GB2312" w:hAnsi="仿宋_GB2312" w:eastAsia="仿宋_GB2312" w:cs="仿宋_GB2312"/>
          <w:kern w:val="0"/>
          <w:sz w:val="32"/>
          <w:szCs w:val="32"/>
          <w:u w:val="none"/>
          <w:lang w:eastAsia="zh-CN"/>
        </w:rPr>
        <w:t>少</w:t>
      </w:r>
      <w:r>
        <w:rPr>
          <w:rFonts w:hint="eastAsia" w:ascii="仿宋_GB2312" w:hAnsi="仿宋_GB2312" w:eastAsia="仿宋_GB2312" w:cs="仿宋_GB2312"/>
          <w:kern w:val="0"/>
          <w:sz w:val="32"/>
          <w:szCs w:val="32"/>
          <w:u w:val="none"/>
          <w:lang w:eastAsia="en-US"/>
        </w:rPr>
        <w:t>67.18</w:t>
      </w:r>
      <w:r>
        <w:rPr>
          <w:rFonts w:hint="eastAsia" w:ascii="仿宋_GB2312" w:hAnsi="仿宋_GB2312" w:eastAsia="仿宋_GB2312" w:cs="仿宋_GB2312"/>
          <w:kern w:val="0"/>
          <w:sz w:val="32"/>
          <w:szCs w:val="32"/>
          <w:u w:val="none"/>
        </w:rPr>
        <w:t>万元，下降</w:t>
      </w:r>
      <w:r>
        <w:rPr>
          <w:rFonts w:hint="eastAsia" w:ascii="仿宋_GB2312" w:hAnsi="仿宋_GB2312" w:eastAsia="仿宋_GB2312" w:cs="仿宋_GB2312"/>
          <w:kern w:val="0"/>
          <w:sz w:val="32"/>
          <w:szCs w:val="32"/>
          <w:u w:val="none"/>
          <w:lang w:eastAsia="en-US"/>
        </w:rPr>
        <w:t>8.14%</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val="en-US" w:eastAsia="zh-CN"/>
        </w:rPr>
        <w:t>2025年4月开始，在职人员其他项工资不在按月进行发放、退休人员交通补贴和通讯补贴停发</w:t>
      </w:r>
      <w:r>
        <w:rPr>
          <w:rFonts w:hint="eastAsia" w:ascii="仿宋_GB2312" w:hAnsi="仿宋_GB2312" w:eastAsia="仿宋_GB2312" w:cs="仿宋_GB2312"/>
          <w:kern w:val="0"/>
          <w:sz w:val="32"/>
          <w:szCs w:val="32"/>
          <w:u w:val="none"/>
        </w:rPr>
        <w:t>。</w:t>
      </w:r>
    </w:p>
    <w:p w14:paraId="4AFB1BA1">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3732FF92">
      <w:pPr>
        <w:pStyle w:val="33"/>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内蒙古自治区巴彦淖尔市房屋产权交易中心</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年度一般公共预算财政拨款支出决算</w:t>
      </w:r>
      <w:r>
        <w:rPr>
          <w:rFonts w:eastAsia="Times New Roman"/>
          <w:kern w:val="0"/>
          <w:sz w:val="32"/>
          <w:szCs w:val="32"/>
          <w:u w:val="none"/>
          <w:lang w:eastAsia="en-US"/>
        </w:rPr>
        <w:t xml:space="preserve"> 758.49</w:t>
      </w:r>
      <w:r>
        <w:rPr>
          <w:rFonts w:ascii="FangSong_GB2312" w:hAnsi="FangSong_GB2312" w:eastAsia="FangSong_GB2312" w:cs="FangSong_GB2312"/>
          <w:kern w:val="0"/>
          <w:sz w:val="32"/>
          <w:szCs w:val="32"/>
          <w:u w:val="none"/>
        </w:rPr>
        <w:t>万元。与年初预算</w:t>
      </w:r>
      <w:r>
        <w:rPr>
          <w:rFonts w:eastAsia="Times New Roman"/>
          <w:kern w:val="0"/>
          <w:sz w:val="32"/>
          <w:szCs w:val="32"/>
          <w:u w:val="none"/>
          <w:lang w:eastAsia="en-US"/>
        </w:rPr>
        <w:t xml:space="preserve"> 694.17</w:t>
      </w:r>
      <w:r>
        <w:rPr>
          <w:rFonts w:ascii="FangSong_GB2312" w:hAnsi="FangSong_GB2312" w:eastAsia="FangSong_GB2312" w:cs="FangSong_GB2312"/>
          <w:kern w:val="0"/>
          <w:sz w:val="32"/>
          <w:szCs w:val="32"/>
          <w:u w:val="none"/>
        </w:rPr>
        <w:t>万元相比，完成年初预算的</w:t>
      </w:r>
      <w:r>
        <w:rPr>
          <w:rFonts w:eastAsia="Times New Roman"/>
          <w:kern w:val="0"/>
          <w:sz w:val="32"/>
          <w:szCs w:val="32"/>
          <w:u w:val="none"/>
          <w:lang w:eastAsia="en-US"/>
        </w:rPr>
        <w:t xml:space="preserve"> 109.27</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w:t>
      </w:r>
    </w:p>
    <w:p w14:paraId="7EB4DC0A">
      <w:pPr>
        <w:pStyle w:val="33"/>
        <w:keepNext w:val="0"/>
        <w:keepLines w:val="0"/>
        <w:pageBreakBefore w:val="0"/>
        <w:widowControl/>
        <w:kinsoku/>
        <w:wordWrap/>
        <w:overflowPunct/>
        <w:topLinePunct w:val="0"/>
        <w:autoSpaceDE/>
        <w:autoSpaceDN/>
        <w:bidi w:val="0"/>
        <w:snapToGrid/>
        <w:spacing w:before="240" w:after="240" w:line="560" w:lineRule="exact"/>
        <w:ind w:firstLine="640"/>
        <w:jc w:val="left"/>
        <w:textAlignment w:val="auto"/>
        <w:rPr>
          <w:rFonts w:ascii="Times New Roman" w:hAnsi="Times New Roman" w:eastAsia="Times New Roman" w:cs="Times New Roman"/>
          <w:kern w:val="0"/>
          <w:sz w:val="24"/>
          <w:u w:val="none"/>
        </w:rPr>
      </w:pPr>
      <w:r>
        <w:rPr>
          <w:rFonts w:ascii="楷体" w:hAnsi="楷体" w:eastAsia="楷体" w:cs="楷体"/>
          <w:b/>
          <w:bCs/>
          <w:kern w:val="0"/>
          <w:sz w:val="32"/>
          <w:szCs w:val="32"/>
          <w:u w:val="none"/>
        </w:rPr>
        <w:t>（一）社会保障和就业支出（类）</w:t>
      </w:r>
    </w:p>
    <w:p w14:paraId="3B6C9021">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社会保障和就业支出（类）决算数为</w:t>
      </w:r>
      <w:r>
        <w:rPr>
          <w:rFonts w:hint="eastAsia" w:ascii="仿宋_GB2312" w:hAnsi="仿宋_GB2312" w:eastAsia="仿宋_GB2312" w:cs="仿宋_GB2312"/>
          <w:kern w:val="0"/>
          <w:sz w:val="32"/>
          <w:szCs w:val="32"/>
          <w:u w:val="none"/>
          <w:lang w:eastAsia="en-US"/>
        </w:rPr>
        <w:t xml:space="preserve"> 110.64</w:t>
      </w:r>
      <w:r>
        <w:rPr>
          <w:rFonts w:hint="eastAsia" w:ascii="仿宋_GB2312" w:hAnsi="仿宋_GB2312" w:eastAsia="仿宋_GB2312" w:cs="仿宋_GB2312"/>
          <w:kern w:val="0"/>
          <w:sz w:val="32"/>
          <w:szCs w:val="32"/>
          <w:u w:val="none"/>
        </w:rPr>
        <w:t>万元，与年初预算相比增加</w:t>
      </w:r>
      <w:r>
        <w:rPr>
          <w:rFonts w:hint="eastAsia" w:ascii="仿宋_GB2312" w:hAnsi="仿宋_GB2312" w:eastAsia="仿宋_GB2312" w:cs="仿宋_GB2312"/>
          <w:kern w:val="0"/>
          <w:sz w:val="32"/>
          <w:szCs w:val="32"/>
          <w:u w:val="none"/>
          <w:lang w:eastAsia="en-US"/>
        </w:rPr>
        <w:t>17.78</w:t>
      </w:r>
      <w:r>
        <w:rPr>
          <w:rFonts w:hint="eastAsia" w:ascii="仿宋_GB2312" w:hAnsi="仿宋_GB2312" w:eastAsia="仿宋_GB2312" w:cs="仿宋_GB2312"/>
          <w:kern w:val="0"/>
          <w:sz w:val="32"/>
          <w:szCs w:val="32"/>
          <w:u w:val="none"/>
        </w:rPr>
        <w:t>万元。其中：</w:t>
      </w:r>
    </w:p>
    <w:p w14:paraId="14ED406B">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1</w:t>
      </w:r>
      <w:r>
        <w:rPr>
          <w:rFonts w:hint="eastAsia" w:ascii="仿宋_GB2312" w:hAnsi="仿宋_GB2312" w:eastAsia="仿宋_GB2312" w:cs="仿宋_GB2312"/>
          <w:kern w:val="0"/>
          <w:sz w:val="32"/>
          <w:szCs w:val="32"/>
          <w:u w:val="none"/>
        </w:rPr>
        <w:t>．行政事业单位养老支出（款）事业单位离退休（项）。年初预算</w:t>
      </w:r>
      <w:r>
        <w:rPr>
          <w:rFonts w:hint="eastAsia" w:ascii="仿宋_GB2312" w:hAnsi="仿宋_GB2312" w:eastAsia="仿宋_GB2312" w:cs="仿宋_GB2312"/>
          <w:kern w:val="0"/>
          <w:sz w:val="32"/>
          <w:szCs w:val="32"/>
          <w:u w:val="none"/>
          <w:lang w:val="en-US" w:eastAsia="zh-CN"/>
        </w:rPr>
        <w:t>35.49</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23.97</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67.54</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val="en-US" w:eastAsia="zh-CN"/>
        </w:rPr>
        <w:t>按照市财政统一要求，2025年4月开始，退休人员交通补贴和通讯补贴停发</w:t>
      </w:r>
      <w:r>
        <w:rPr>
          <w:rFonts w:hint="eastAsia" w:ascii="仿宋_GB2312" w:hAnsi="仿宋_GB2312" w:eastAsia="仿宋_GB2312" w:cs="仿宋_GB2312"/>
          <w:kern w:val="0"/>
          <w:sz w:val="32"/>
          <w:szCs w:val="32"/>
          <w:u w:val="none"/>
        </w:rPr>
        <w:t>。</w:t>
      </w:r>
    </w:p>
    <w:p w14:paraId="45EEF05B">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val="en-US" w:eastAsia="zh-CN"/>
        </w:rPr>
        <w:t>2</w:t>
      </w:r>
      <w:r>
        <w:rPr>
          <w:rFonts w:hint="eastAsia" w:ascii="仿宋_GB2312" w:hAnsi="仿宋_GB2312" w:eastAsia="仿宋_GB2312" w:cs="仿宋_GB2312"/>
          <w:kern w:val="0"/>
          <w:sz w:val="32"/>
          <w:szCs w:val="32"/>
          <w:u w:val="none"/>
        </w:rPr>
        <w:t>．行政事业单位养老支出（款）机关事业单位基本养老保险缴费支出（项）。年初预算</w:t>
      </w:r>
      <w:r>
        <w:rPr>
          <w:rFonts w:hint="eastAsia" w:ascii="仿宋_GB2312" w:hAnsi="仿宋_GB2312" w:eastAsia="仿宋_GB2312" w:cs="仿宋_GB2312"/>
          <w:kern w:val="0"/>
          <w:sz w:val="32"/>
          <w:szCs w:val="32"/>
          <w:u w:val="none"/>
          <w:lang w:val="en-US" w:eastAsia="zh-CN"/>
        </w:rPr>
        <w:t>54.76</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62.51</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114.15</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2025年我单位新考录5人，人员增加，养老保险支出增加。</w:t>
      </w:r>
    </w:p>
    <w:p w14:paraId="0F729DC2">
      <w:pPr>
        <w:pStyle w:val="10"/>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kern w:val="0"/>
          <w:sz w:val="32"/>
          <w:szCs w:val="32"/>
          <w:u w:val="none"/>
          <w:lang w:val="en-US" w:eastAsia="zh-CN"/>
        </w:rPr>
        <w:t>3</w:t>
      </w:r>
      <w:r>
        <w:rPr>
          <w:rFonts w:hint="eastAsia" w:ascii="仿宋_GB2312" w:hAnsi="仿宋_GB2312" w:eastAsia="仿宋_GB2312" w:cs="仿宋_GB2312"/>
          <w:kern w:val="0"/>
          <w:sz w:val="32"/>
          <w:szCs w:val="32"/>
          <w:u w:val="none"/>
        </w:rPr>
        <w:t>．行政事业单位养老支出（款）机关事业单位职业年金缴费支出（项）。年初预算</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8.13</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100</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sz w:val="32"/>
          <w:szCs w:val="32"/>
          <w:highlight w:val="none"/>
          <w:u w:val="none"/>
          <w:lang w:val="en-US" w:eastAsia="zh-CN"/>
        </w:rPr>
        <w:t>职业年金公补部分不纳入年初预算，2025年增加1名退休人员，退休后进行追加职业年金做实</w:t>
      </w:r>
      <w:r>
        <w:rPr>
          <w:rFonts w:hint="eastAsia" w:ascii="仿宋_GB2312" w:hAnsi="仿宋_GB2312" w:eastAsia="仿宋_GB2312" w:cs="仿宋_GB2312"/>
          <w:sz w:val="32"/>
          <w:szCs w:val="32"/>
          <w:highlight w:val="none"/>
          <w:u w:val="none"/>
        </w:rPr>
        <w:t>。</w:t>
      </w:r>
    </w:p>
    <w:p w14:paraId="4086B0E0">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4.抚恤</w:t>
      </w:r>
      <w:r>
        <w:rPr>
          <w:rFonts w:hint="eastAsia" w:ascii="仿宋_GB2312" w:hAnsi="仿宋_GB2312" w:eastAsia="仿宋_GB2312" w:cs="仿宋_GB2312"/>
          <w:sz w:val="32"/>
          <w:szCs w:val="32"/>
          <w:highlight w:val="none"/>
          <w:u w:val="none"/>
        </w:rPr>
        <w:t>（款）</w:t>
      </w:r>
      <w:r>
        <w:rPr>
          <w:rFonts w:hint="eastAsia" w:ascii="仿宋_GB2312" w:hAnsi="仿宋_GB2312" w:eastAsia="仿宋_GB2312" w:cs="仿宋_GB2312"/>
          <w:sz w:val="32"/>
          <w:szCs w:val="32"/>
          <w:highlight w:val="none"/>
          <w:u w:val="none"/>
          <w:lang w:val="en-US" w:eastAsia="zh-CN"/>
        </w:rPr>
        <w:t>死亡抚恤</w:t>
      </w:r>
      <w:r>
        <w:rPr>
          <w:rFonts w:hint="eastAsia" w:ascii="仿宋_GB2312" w:hAnsi="仿宋_GB2312" w:eastAsia="仿宋_GB2312" w:cs="仿宋_GB2312"/>
          <w:sz w:val="32"/>
          <w:szCs w:val="32"/>
          <w:highlight w:val="none"/>
          <w:u w:val="none"/>
        </w:rPr>
        <w:t>（项）。年初预算</w:t>
      </w:r>
      <w:r>
        <w:rPr>
          <w:rFonts w:hint="eastAsia" w:ascii="仿宋_GB2312" w:hAnsi="仿宋_GB2312" w:eastAsia="仿宋_GB2312" w:cs="仿宋_GB2312"/>
          <w:sz w:val="32"/>
          <w:szCs w:val="32"/>
          <w:highlight w:val="none"/>
          <w:u w:val="none"/>
          <w:lang w:val="en-US" w:eastAsia="zh-CN"/>
        </w:rPr>
        <w:t>0</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13.36</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highlight w:val="none"/>
          <w:u w:val="none"/>
          <w:lang w:val="en-US" w:eastAsia="zh-CN"/>
        </w:rPr>
        <w:t>抚恤金未纳入预算，2024年职工去世后2025年追加后发放</w:t>
      </w:r>
      <w:r>
        <w:rPr>
          <w:rFonts w:hint="eastAsia" w:ascii="仿宋_GB2312" w:hAnsi="仿宋_GB2312" w:eastAsia="仿宋_GB2312" w:cs="仿宋_GB2312"/>
          <w:sz w:val="32"/>
          <w:szCs w:val="32"/>
          <w:highlight w:val="none"/>
          <w:u w:val="none"/>
        </w:rPr>
        <w:t>。</w:t>
      </w:r>
    </w:p>
    <w:p w14:paraId="7A9F3993">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val="en-US" w:eastAsia="zh-CN"/>
        </w:rPr>
        <w:t>5.其它社会保障和就业支出</w:t>
      </w:r>
      <w:r>
        <w:rPr>
          <w:rFonts w:hint="eastAsia" w:ascii="仿宋_GB2312" w:hAnsi="仿宋_GB2312" w:eastAsia="仿宋_GB2312" w:cs="仿宋_GB2312"/>
          <w:sz w:val="32"/>
          <w:szCs w:val="32"/>
          <w:highlight w:val="none"/>
          <w:u w:val="none"/>
        </w:rPr>
        <w:t>（款）</w:t>
      </w:r>
      <w:r>
        <w:rPr>
          <w:rFonts w:hint="eastAsia" w:ascii="仿宋_GB2312" w:hAnsi="仿宋_GB2312" w:eastAsia="仿宋_GB2312" w:cs="仿宋_GB2312"/>
          <w:sz w:val="32"/>
          <w:szCs w:val="32"/>
          <w:highlight w:val="none"/>
          <w:u w:val="none"/>
          <w:lang w:val="en-US" w:eastAsia="zh-CN"/>
        </w:rPr>
        <w:t>其它社会保障和就业支出</w:t>
      </w:r>
      <w:r>
        <w:rPr>
          <w:rFonts w:hint="eastAsia" w:ascii="仿宋_GB2312" w:hAnsi="仿宋_GB2312" w:eastAsia="仿宋_GB2312" w:cs="仿宋_GB2312"/>
          <w:sz w:val="32"/>
          <w:szCs w:val="32"/>
          <w:highlight w:val="none"/>
          <w:u w:val="none"/>
        </w:rPr>
        <w:t>（项）。年初预算</w:t>
      </w:r>
      <w:r>
        <w:rPr>
          <w:rFonts w:hint="eastAsia" w:ascii="仿宋_GB2312" w:hAnsi="仿宋_GB2312" w:eastAsia="仿宋_GB2312" w:cs="仿宋_GB2312"/>
          <w:sz w:val="32"/>
          <w:szCs w:val="32"/>
          <w:highlight w:val="none"/>
          <w:u w:val="none"/>
          <w:lang w:val="en-US" w:eastAsia="zh-CN"/>
        </w:rPr>
        <w:t>2.61</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2.68</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102.68</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2025年我单位新考录5人，人员增加，工伤和失业保险支出增加。</w:t>
      </w:r>
    </w:p>
    <w:p w14:paraId="0185CCA3">
      <w:pPr>
        <w:pStyle w:val="33"/>
        <w:keepNext w:val="0"/>
        <w:keepLines w:val="0"/>
        <w:pageBreakBefore w:val="0"/>
        <w:widowControl/>
        <w:kinsoku/>
        <w:wordWrap/>
        <w:overflowPunct/>
        <w:topLinePunct w:val="0"/>
        <w:autoSpaceDE/>
        <w:autoSpaceDN/>
        <w:bidi w:val="0"/>
        <w:snapToGrid/>
        <w:spacing w:before="240" w:after="240" w:line="560" w:lineRule="exact"/>
        <w:ind w:firstLine="643" w:firstLineChars="200"/>
        <w:jc w:val="left"/>
        <w:textAlignment w:val="auto"/>
        <w:rPr>
          <w:rFonts w:ascii="Times New Roman" w:hAnsi="Times New Roman" w:eastAsia="Times New Roman" w:cs="Times New Roman"/>
          <w:kern w:val="0"/>
          <w:sz w:val="24"/>
          <w:u w:val="none"/>
        </w:rPr>
      </w:pPr>
      <w:r>
        <w:rPr>
          <w:rFonts w:ascii="楷体" w:hAnsi="楷体" w:eastAsia="楷体" w:cs="楷体"/>
          <w:b/>
          <w:bCs/>
          <w:kern w:val="0"/>
          <w:sz w:val="32"/>
          <w:szCs w:val="32"/>
          <w:u w:val="none"/>
        </w:rPr>
        <w:t>（</w:t>
      </w:r>
      <w:r>
        <w:rPr>
          <w:rFonts w:hint="eastAsia" w:ascii="楷体" w:hAnsi="楷体" w:eastAsia="楷体" w:cs="楷体"/>
          <w:b/>
          <w:bCs/>
          <w:kern w:val="0"/>
          <w:sz w:val="32"/>
          <w:szCs w:val="32"/>
          <w:u w:val="none"/>
          <w:lang w:eastAsia="zh-CN"/>
        </w:rPr>
        <w:t>二</w:t>
      </w:r>
      <w:r>
        <w:rPr>
          <w:rFonts w:ascii="楷体" w:hAnsi="楷体" w:eastAsia="楷体" w:cs="楷体"/>
          <w:b/>
          <w:bCs/>
          <w:kern w:val="0"/>
          <w:sz w:val="32"/>
          <w:szCs w:val="32"/>
          <w:u w:val="none"/>
        </w:rPr>
        <w:t>）卫生健康支出（类）</w:t>
      </w:r>
    </w:p>
    <w:p w14:paraId="3FD00B43">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卫生健康支出（类）决算数为</w:t>
      </w:r>
      <w:r>
        <w:rPr>
          <w:rFonts w:hint="eastAsia" w:ascii="仿宋_GB2312" w:hAnsi="仿宋_GB2312" w:eastAsia="仿宋_GB2312" w:cs="仿宋_GB2312"/>
          <w:kern w:val="0"/>
          <w:sz w:val="32"/>
          <w:szCs w:val="32"/>
          <w:u w:val="none"/>
          <w:lang w:eastAsia="en-US"/>
        </w:rPr>
        <w:t xml:space="preserve"> 45.89</w:t>
      </w:r>
      <w:r>
        <w:rPr>
          <w:rFonts w:hint="eastAsia" w:ascii="仿宋_GB2312" w:hAnsi="仿宋_GB2312" w:eastAsia="仿宋_GB2312" w:cs="仿宋_GB2312"/>
          <w:kern w:val="0"/>
          <w:sz w:val="32"/>
          <w:szCs w:val="32"/>
          <w:u w:val="none"/>
        </w:rPr>
        <w:t>万元，与年初预算相比增加</w:t>
      </w:r>
      <w:r>
        <w:rPr>
          <w:rFonts w:hint="eastAsia" w:ascii="仿宋_GB2312" w:hAnsi="仿宋_GB2312" w:eastAsia="仿宋_GB2312" w:cs="仿宋_GB2312"/>
          <w:kern w:val="0"/>
          <w:sz w:val="32"/>
          <w:szCs w:val="32"/>
          <w:u w:val="none"/>
          <w:lang w:eastAsia="en-US"/>
        </w:rPr>
        <w:t> 4.76</w:t>
      </w:r>
      <w:r>
        <w:rPr>
          <w:rFonts w:hint="eastAsia" w:ascii="仿宋_GB2312" w:hAnsi="仿宋_GB2312" w:eastAsia="仿宋_GB2312" w:cs="仿宋_GB2312"/>
          <w:kern w:val="0"/>
          <w:sz w:val="32"/>
          <w:szCs w:val="32"/>
          <w:u w:val="none"/>
        </w:rPr>
        <w:t>万元。其中：</w:t>
      </w:r>
    </w:p>
    <w:p w14:paraId="059ED4F5">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1</w:t>
      </w:r>
      <w:r>
        <w:rPr>
          <w:rFonts w:hint="eastAsia" w:ascii="仿宋_GB2312" w:hAnsi="仿宋_GB2312" w:eastAsia="仿宋_GB2312" w:cs="仿宋_GB2312"/>
          <w:kern w:val="0"/>
          <w:sz w:val="32"/>
          <w:szCs w:val="32"/>
          <w:u w:val="none"/>
        </w:rPr>
        <w:t>．行政事业单位医疗（款）事业单位医疗（项）。年初预算</w:t>
      </w:r>
      <w:r>
        <w:rPr>
          <w:rFonts w:hint="eastAsia" w:ascii="仿宋_GB2312" w:hAnsi="仿宋_GB2312" w:eastAsia="仿宋_GB2312" w:cs="仿宋_GB2312"/>
          <w:kern w:val="0"/>
          <w:sz w:val="32"/>
          <w:szCs w:val="32"/>
          <w:u w:val="none"/>
          <w:lang w:val="en-US" w:eastAsia="zh-CN"/>
        </w:rPr>
        <w:t>27.8</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31.02</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111.58</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2025年我单位新考录5人，人员增加，基本医疗保险支出增加。</w:t>
      </w:r>
    </w:p>
    <w:p w14:paraId="32BF63F7">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lang w:val="en-US" w:eastAsia="zh-CN"/>
        </w:rPr>
        <w:t>2</w:t>
      </w:r>
      <w:r>
        <w:rPr>
          <w:rFonts w:hint="eastAsia" w:ascii="仿宋_GB2312" w:hAnsi="仿宋_GB2312" w:eastAsia="仿宋_GB2312" w:cs="仿宋_GB2312"/>
          <w:kern w:val="0"/>
          <w:sz w:val="32"/>
          <w:szCs w:val="32"/>
          <w:u w:val="none"/>
        </w:rPr>
        <w:t>．行政事业单位医疗（款）公务员医疗补助（项）。年初预算</w:t>
      </w:r>
      <w:r>
        <w:rPr>
          <w:rFonts w:hint="eastAsia" w:ascii="仿宋_GB2312" w:hAnsi="仿宋_GB2312" w:eastAsia="仿宋_GB2312" w:cs="仿宋_GB2312"/>
          <w:kern w:val="0"/>
          <w:sz w:val="32"/>
          <w:szCs w:val="32"/>
          <w:u w:val="none"/>
          <w:lang w:val="en-US" w:eastAsia="zh-CN"/>
        </w:rPr>
        <w:t>13.33</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14.87</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111.55</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2025年我单位新考录5人，人员增加，公务员医疗补助支出增加。</w:t>
      </w:r>
    </w:p>
    <w:p w14:paraId="7A66E3A8">
      <w:pPr>
        <w:keepNext w:val="0"/>
        <w:keepLines w:val="0"/>
        <w:pageBreakBefore w:val="0"/>
        <w:tabs>
          <w:tab w:val="left" w:pos="4275"/>
        </w:tabs>
        <w:kinsoku/>
        <w:wordWrap/>
        <w:overflowPunct/>
        <w:topLinePunct w:val="0"/>
        <w:autoSpaceDE/>
        <w:autoSpaceDN/>
        <w:bidi w:val="0"/>
        <w:snapToGrid/>
        <w:spacing w:line="560" w:lineRule="exact"/>
        <w:ind w:left="0" w:leftChars="0" w:firstLine="643" w:firstLineChars="200"/>
        <w:jc w:val="both"/>
        <w:textAlignment w:val="auto"/>
        <w:rPr>
          <w:rFonts w:hint="default" w:ascii="Times New Roman" w:hAnsi="Times New Roman" w:eastAsia="楷体_GB2312" w:cs="Times New Roman"/>
          <w:b/>
          <w:color w:val="auto"/>
          <w:kern w:val="2"/>
          <w:sz w:val="32"/>
          <w:szCs w:val="32"/>
          <w:highlight w:val="none"/>
          <w:u w:val="none"/>
        </w:rPr>
      </w:pPr>
      <w:r>
        <w:rPr>
          <w:rFonts w:hint="default" w:ascii="Times New Roman" w:hAnsi="Times New Roman" w:eastAsia="楷体_GB2312" w:cs="Times New Roman"/>
          <w:b/>
          <w:color w:val="auto"/>
          <w:kern w:val="2"/>
          <w:sz w:val="32"/>
          <w:szCs w:val="32"/>
          <w:highlight w:val="none"/>
          <w:u w:val="none"/>
        </w:rPr>
        <w:t>（</w:t>
      </w:r>
      <w:r>
        <w:rPr>
          <w:rFonts w:hint="default" w:ascii="Times New Roman" w:hAnsi="Times New Roman" w:eastAsia="楷体_GB2312" w:cs="Times New Roman"/>
          <w:b/>
          <w:color w:val="auto"/>
          <w:kern w:val="2"/>
          <w:sz w:val="32"/>
          <w:szCs w:val="32"/>
          <w:highlight w:val="none"/>
          <w:u w:val="none"/>
          <w:lang w:val="en-US" w:eastAsia="zh-CN"/>
        </w:rPr>
        <w:t>三</w:t>
      </w:r>
      <w:r>
        <w:rPr>
          <w:rFonts w:hint="default" w:ascii="Times New Roman" w:hAnsi="Times New Roman" w:eastAsia="楷体_GB2312" w:cs="Times New Roman"/>
          <w:b/>
          <w:color w:val="auto"/>
          <w:kern w:val="2"/>
          <w:sz w:val="32"/>
          <w:szCs w:val="32"/>
          <w:highlight w:val="none"/>
          <w:u w:val="none"/>
        </w:rPr>
        <w:t>）</w:t>
      </w:r>
      <w:r>
        <w:rPr>
          <w:rFonts w:hint="default" w:ascii="Times New Roman" w:hAnsi="Times New Roman" w:eastAsia="楷体_GB2312" w:cs="Times New Roman"/>
          <w:b/>
          <w:color w:val="auto"/>
          <w:kern w:val="2"/>
          <w:sz w:val="32"/>
          <w:szCs w:val="32"/>
          <w:highlight w:val="none"/>
          <w:u w:val="none"/>
          <w:lang w:val="en-US" w:eastAsia="zh-CN"/>
        </w:rPr>
        <w:t>城乡社区支出</w:t>
      </w:r>
      <w:r>
        <w:rPr>
          <w:rFonts w:hint="default" w:ascii="Times New Roman" w:hAnsi="Times New Roman" w:eastAsia="楷体_GB2312" w:cs="Times New Roman"/>
          <w:b/>
          <w:color w:val="auto"/>
          <w:kern w:val="2"/>
          <w:sz w:val="32"/>
          <w:szCs w:val="32"/>
          <w:highlight w:val="none"/>
          <w:u w:val="none"/>
        </w:rPr>
        <w:t>（类）</w:t>
      </w:r>
    </w:p>
    <w:p w14:paraId="4882B06A">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城乡社区支出（</w:t>
      </w:r>
      <w:r>
        <w:rPr>
          <w:rFonts w:hint="eastAsia" w:ascii="仿宋_GB2312" w:hAnsi="仿宋_GB2312" w:eastAsia="仿宋_GB2312" w:cs="仿宋_GB2312"/>
          <w:sz w:val="32"/>
          <w:szCs w:val="32"/>
          <w:highlight w:val="none"/>
          <w:u w:val="none"/>
        </w:rPr>
        <w:t>类</w:t>
      </w:r>
      <w:r>
        <w:rPr>
          <w:rFonts w:hint="eastAsia" w:ascii="仿宋_GB2312" w:hAnsi="仿宋_GB2312" w:eastAsia="仿宋_GB2312" w:cs="仿宋_GB2312"/>
          <w:sz w:val="32"/>
          <w:szCs w:val="32"/>
          <w:highlight w:val="none"/>
          <w:u w:val="none"/>
          <w:lang w:val="en-US" w:eastAsia="zh-CN"/>
        </w:rPr>
        <w:t>）决算</w:t>
      </w:r>
      <w:r>
        <w:rPr>
          <w:rFonts w:hint="eastAsia" w:ascii="仿宋_GB2312" w:hAnsi="仿宋_GB2312" w:eastAsia="仿宋_GB2312" w:cs="仿宋_GB2312"/>
          <w:sz w:val="32"/>
          <w:szCs w:val="32"/>
          <w:highlight w:val="none"/>
          <w:u w:val="none"/>
        </w:rPr>
        <w:t>数为</w:t>
      </w:r>
      <w:r>
        <w:rPr>
          <w:rFonts w:hint="eastAsia" w:ascii="仿宋_GB2312" w:hAnsi="仿宋_GB2312" w:eastAsia="仿宋_GB2312" w:cs="仿宋_GB2312"/>
          <w:sz w:val="32"/>
          <w:szCs w:val="32"/>
          <w:highlight w:val="none"/>
          <w:u w:val="none"/>
          <w:lang w:val="en-US" w:eastAsia="zh-CN"/>
        </w:rPr>
        <w:t>545.66</w:t>
      </w:r>
      <w:r>
        <w:rPr>
          <w:rFonts w:hint="eastAsia" w:ascii="仿宋_GB2312" w:hAnsi="仿宋_GB2312" w:eastAsia="仿宋_GB2312" w:cs="仿宋_GB2312"/>
          <w:sz w:val="32"/>
          <w:szCs w:val="32"/>
          <w:highlight w:val="none"/>
          <w:u w:val="none"/>
        </w:rPr>
        <w:t>万元，与</w:t>
      </w:r>
      <w:r>
        <w:rPr>
          <w:rFonts w:hint="eastAsia" w:ascii="仿宋_GB2312" w:hAnsi="仿宋_GB2312" w:eastAsia="仿宋_GB2312" w:cs="仿宋_GB2312"/>
          <w:sz w:val="32"/>
          <w:szCs w:val="32"/>
          <w:highlight w:val="none"/>
          <w:u w:val="none"/>
          <w:lang w:val="en-US" w:eastAsia="zh-CN"/>
        </w:rPr>
        <w:t>年初预算</w:t>
      </w:r>
      <w:r>
        <w:rPr>
          <w:rFonts w:hint="eastAsia" w:ascii="仿宋_GB2312" w:hAnsi="仿宋_GB2312" w:eastAsia="仿宋_GB2312" w:cs="仿宋_GB2312"/>
          <w:sz w:val="32"/>
          <w:szCs w:val="32"/>
          <w:highlight w:val="none"/>
          <w:u w:val="none"/>
        </w:rPr>
        <w:t>相比</w:t>
      </w:r>
      <w:r>
        <w:rPr>
          <w:rFonts w:hint="eastAsia" w:ascii="仿宋_GB2312" w:hAnsi="仿宋_GB2312" w:eastAsia="仿宋_GB2312" w:cs="仿宋_GB2312"/>
          <w:sz w:val="32"/>
          <w:szCs w:val="32"/>
          <w:highlight w:val="none"/>
          <w:u w:val="none"/>
          <w:lang w:val="en-US" w:eastAsia="zh-CN"/>
        </w:rPr>
        <w:t>增加39.55</w:t>
      </w:r>
      <w:r>
        <w:rPr>
          <w:rFonts w:hint="eastAsia" w:ascii="仿宋_GB2312" w:hAnsi="仿宋_GB2312" w:eastAsia="仿宋_GB2312" w:cs="仿宋_GB2312"/>
          <w:sz w:val="32"/>
          <w:szCs w:val="32"/>
          <w:highlight w:val="none"/>
          <w:u w:val="none"/>
        </w:rPr>
        <w:t>万元。其中：</w:t>
      </w:r>
    </w:p>
    <w:p w14:paraId="793B840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sz w:val="32"/>
          <w:szCs w:val="32"/>
          <w:highlight w:val="none"/>
          <w:u w:val="none"/>
          <w:lang w:val="en-US" w:eastAsia="zh-CN"/>
        </w:rPr>
        <w:t>城乡社区管理事务</w:t>
      </w:r>
      <w:r>
        <w:rPr>
          <w:rFonts w:hint="eastAsia" w:ascii="仿宋_GB2312" w:hAnsi="仿宋_GB2312" w:eastAsia="仿宋_GB2312" w:cs="仿宋_GB2312"/>
          <w:sz w:val="32"/>
          <w:szCs w:val="32"/>
          <w:highlight w:val="none"/>
          <w:u w:val="none"/>
        </w:rPr>
        <w:t>（款）</w:t>
      </w:r>
      <w:r>
        <w:rPr>
          <w:rFonts w:hint="eastAsia" w:ascii="仿宋_GB2312" w:hAnsi="仿宋_GB2312" w:eastAsia="仿宋_GB2312" w:cs="仿宋_GB2312"/>
          <w:sz w:val="32"/>
          <w:szCs w:val="32"/>
          <w:highlight w:val="none"/>
          <w:u w:val="none"/>
          <w:lang w:val="en-US" w:eastAsia="zh-CN"/>
        </w:rPr>
        <w:t>机关服务</w:t>
      </w:r>
      <w:r>
        <w:rPr>
          <w:rFonts w:hint="eastAsia" w:ascii="仿宋_GB2312" w:hAnsi="仿宋_GB2312" w:eastAsia="仿宋_GB2312" w:cs="仿宋_GB2312"/>
          <w:sz w:val="32"/>
          <w:szCs w:val="32"/>
          <w:highlight w:val="none"/>
          <w:u w:val="none"/>
        </w:rPr>
        <w:t>（项）。年初预算</w:t>
      </w:r>
      <w:r>
        <w:rPr>
          <w:rFonts w:hint="eastAsia" w:ascii="仿宋_GB2312" w:hAnsi="仿宋_GB2312" w:eastAsia="仿宋_GB2312" w:cs="仿宋_GB2312"/>
          <w:sz w:val="32"/>
          <w:szCs w:val="32"/>
          <w:highlight w:val="none"/>
          <w:u w:val="none"/>
          <w:lang w:val="en-US" w:eastAsia="zh-CN"/>
        </w:rPr>
        <w:t>496.11</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536.1</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108.06</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2025年我单位新考录5人，人员增加，工资和其他经费支出增加。</w:t>
      </w:r>
    </w:p>
    <w:p w14:paraId="4E9C72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val="en-US" w:eastAsia="zh-CN"/>
        </w:rPr>
        <w:t>2</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eastAsia="zh-CN"/>
        </w:rPr>
        <w:t>其他</w:t>
      </w:r>
      <w:r>
        <w:rPr>
          <w:rFonts w:hint="eastAsia" w:ascii="仿宋_GB2312" w:hAnsi="仿宋_GB2312" w:eastAsia="仿宋_GB2312" w:cs="仿宋_GB2312"/>
          <w:sz w:val="32"/>
          <w:szCs w:val="32"/>
          <w:highlight w:val="none"/>
          <w:u w:val="none"/>
          <w:lang w:val="en-US" w:eastAsia="zh-CN"/>
        </w:rPr>
        <w:t>城乡社区住宅</w:t>
      </w:r>
      <w:r>
        <w:rPr>
          <w:rFonts w:hint="eastAsia" w:ascii="仿宋_GB2312" w:hAnsi="仿宋_GB2312" w:eastAsia="仿宋_GB2312" w:cs="仿宋_GB2312"/>
          <w:sz w:val="32"/>
          <w:szCs w:val="32"/>
          <w:highlight w:val="none"/>
          <w:u w:val="none"/>
        </w:rPr>
        <w:t>（款）</w:t>
      </w:r>
      <w:r>
        <w:rPr>
          <w:rFonts w:hint="eastAsia" w:ascii="仿宋_GB2312" w:hAnsi="仿宋_GB2312" w:eastAsia="仿宋_GB2312" w:cs="仿宋_GB2312"/>
          <w:sz w:val="32"/>
          <w:szCs w:val="32"/>
          <w:highlight w:val="none"/>
          <w:u w:val="none"/>
          <w:lang w:val="en-US" w:eastAsia="zh-CN"/>
        </w:rPr>
        <w:t>其它城乡社区住宅支出</w:t>
      </w:r>
      <w:r>
        <w:rPr>
          <w:rFonts w:hint="eastAsia" w:ascii="仿宋_GB2312" w:hAnsi="仿宋_GB2312" w:eastAsia="仿宋_GB2312" w:cs="仿宋_GB2312"/>
          <w:sz w:val="32"/>
          <w:szCs w:val="32"/>
          <w:highlight w:val="none"/>
          <w:u w:val="none"/>
        </w:rPr>
        <w:t>（项）。年初预算</w:t>
      </w:r>
      <w:r>
        <w:rPr>
          <w:rFonts w:hint="eastAsia" w:ascii="仿宋_GB2312" w:hAnsi="仿宋_GB2312" w:eastAsia="仿宋_GB2312" w:cs="仿宋_GB2312"/>
          <w:sz w:val="32"/>
          <w:szCs w:val="32"/>
          <w:highlight w:val="none"/>
          <w:u w:val="none"/>
          <w:lang w:val="en-US" w:eastAsia="zh-CN"/>
        </w:rPr>
        <w:t>10</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9.56</w:t>
      </w:r>
      <w:r>
        <w:rPr>
          <w:rFonts w:hint="eastAsia" w:ascii="仿宋_GB2312" w:hAnsi="仿宋_GB2312" w:eastAsia="仿宋_GB2312" w:cs="仿宋_GB2312"/>
          <w:sz w:val="32"/>
          <w:szCs w:val="32"/>
          <w:highlight w:val="none"/>
          <w:u w:val="none"/>
        </w:rPr>
        <w:t>万元，完成年初预算</w:t>
      </w:r>
      <w:r>
        <w:rPr>
          <w:rFonts w:hint="eastAsia" w:ascii="仿宋_GB2312" w:hAnsi="仿宋_GB2312" w:eastAsia="仿宋_GB2312" w:cs="仿宋_GB2312"/>
          <w:sz w:val="32"/>
          <w:szCs w:val="32"/>
          <w:highlight w:val="none"/>
          <w:u w:val="none"/>
          <w:lang w:eastAsia="zh-CN"/>
        </w:rPr>
        <w:t>的</w:t>
      </w:r>
      <w:r>
        <w:rPr>
          <w:rFonts w:hint="eastAsia" w:ascii="仿宋_GB2312" w:hAnsi="仿宋_GB2312" w:eastAsia="仿宋_GB2312" w:cs="仿宋_GB2312"/>
          <w:sz w:val="32"/>
          <w:szCs w:val="32"/>
          <w:highlight w:val="none"/>
          <w:u w:val="none"/>
          <w:lang w:val="en-US" w:eastAsia="zh-CN"/>
        </w:rPr>
        <w:t>95.6</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本年单位无公务接待，因此结余大。</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sz w:val="32"/>
          <w:szCs w:val="32"/>
          <w:lang w:val="en-US" w:eastAsia="zh-CN"/>
        </w:rPr>
        <w:t>局机关安排中心人员培训有部分人员培训期在2026年，无法在本年结账前安排报名报销。</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因部分赴旗县区调研所需的审核手续，受年末各部门集中办理业务影响，未能在规定时限内完成审批流程，调研任务被迫延后，造成相关交通费用结余。</w:t>
      </w:r>
    </w:p>
    <w:p w14:paraId="796F2EAA">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firstLineChars="200"/>
        <w:jc w:val="both"/>
        <w:textAlignment w:val="auto"/>
        <w:rPr>
          <w:rFonts w:ascii="Times New Roman" w:hAnsi="Times New Roman" w:eastAsia="Times New Roman" w:cs="Times New Roman"/>
          <w:kern w:val="0"/>
          <w:sz w:val="24"/>
          <w:u w:val="none"/>
        </w:rPr>
      </w:pPr>
      <w:r>
        <w:rPr>
          <w:rFonts w:ascii="楷体" w:hAnsi="楷体" w:eastAsia="楷体" w:cs="楷体"/>
          <w:b/>
          <w:bCs/>
          <w:kern w:val="0"/>
          <w:sz w:val="32"/>
          <w:szCs w:val="32"/>
          <w:u w:val="none"/>
        </w:rPr>
        <w:t>（</w:t>
      </w:r>
      <w:r>
        <w:rPr>
          <w:rFonts w:hint="eastAsia" w:ascii="楷体" w:hAnsi="楷体" w:eastAsia="楷体" w:cs="楷体"/>
          <w:b/>
          <w:bCs/>
          <w:kern w:val="0"/>
          <w:sz w:val="32"/>
          <w:szCs w:val="32"/>
          <w:u w:val="none"/>
          <w:lang w:eastAsia="zh-CN"/>
        </w:rPr>
        <w:t>四</w:t>
      </w:r>
      <w:r>
        <w:rPr>
          <w:rFonts w:ascii="楷体" w:hAnsi="楷体" w:eastAsia="楷体" w:cs="楷体"/>
          <w:b/>
          <w:bCs/>
          <w:kern w:val="0"/>
          <w:sz w:val="32"/>
          <w:szCs w:val="32"/>
          <w:u w:val="none"/>
        </w:rPr>
        <w:t>）住房保障支出（类）</w:t>
      </w:r>
    </w:p>
    <w:p w14:paraId="0259988A">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住房保障支出（类）决算数为</w:t>
      </w:r>
      <w:r>
        <w:rPr>
          <w:rFonts w:hint="eastAsia" w:ascii="仿宋_GB2312" w:hAnsi="仿宋_GB2312" w:eastAsia="仿宋_GB2312" w:cs="仿宋_GB2312"/>
          <w:kern w:val="0"/>
          <w:sz w:val="32"/>
          <w:szCs w:val="32"/>
          <w:u w:val="none"/>
          <w:lang w:eastAsia="en-US"/>
        </w:rPr>
        <w:t xml:space="preserve"> 56.30</w:t>
      </w:r>
      <w:r>
        <w:rPr>
          <w:rFonts w:hint="eastAsia" w:ascii="仿宋_GB2312" w:hAnsi="仿宋_GB2312" w:eastAsia="仿宋_GB2312" w:cs="仿宋_GB2312"/>
          <w:kern w:val="0"/>
          <w:sz w:val="32"/>
          <w:szCs w:val="32"/>
          <w:u w:val="none"/>
        </w:rPr>
        <w:t>万元，与年初预算相比增加</w:t>
      </w:r>
      <w:r>
        <w:rPr>
          <w:rFonts w:hint="eastAsia" w:ascii="仿宋_GB2312" w:hAnsi="仿宋_GB2312" w:eastAsia="仿宋_GB2312" w:cs="仿宋_GB2312"/>
          <w:kern w:val="0"/>
          <w:sz w:val="32"/>
          <w:szCs w:val="32"/>
          <w:u w:val="none"/>
          <w:lang w:eastAsia="en-US"/>
        </w:rPr>
        <w:t> 2.2</w:t>
      </w:r>
      <w:r>
        <w:rPr>
          <w:rFonts w:hint="eastAsia" w:ascii="仿宋_GB2312" w:hAnsi="仿宋_GB2312" w:eastAsia="仿宋_GB2312" w:cs="仿宋_GB2312"/>
          <w:kern w:val="0"/>
          <w:sz w:val="32"/>
          <w:szCs w:val="32"/>
          <w:u w:val="none"/>
          <w:lang w:val="en-US" w:eastAsia="zh-CN"/>
        </w:rPr>
        <w:t>3</w:t>
      </w:r>
      <w:r>
        <w:rPr>
          <w:rFonts w:hint="eastAsia" w:ascii="仿宋_GB2312" w:hAnsi="仿宋_GB2312" w:eastAsia="仿宋_GB2312" w:cs="仿宋_GB2312"/>
          <w:kern w:val="0"/>
          <w:sz w:val="32"/>
          <w:szCs w:val="32"/>
          <w:u w:val="none"/>
        </w:rPr>
        <w:t>万元。其中：</w:t>
      </w:r>
    </w:p>
    <w:p w14:paraId="1A891BBA">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eastAsia="en-US"/>
        </w:rPr>
        <w:t>1</w:t>
      </w:r>
      <w:r>
        <w:rPr>
          <w:rFonts w:hint="eastAsia" w:ascii="仿宋_GB2312" w:hAnsi="仿宋_GB2312" w:eastAsia="仿宋_GB2312" w:cs="仿宋_GB2312"/>
          <w:kern w:val="0"/>
          <w:sz w:val="32"/>
          <w:szCs w:val="32"/>
          <w:u w:val="none"/>
        </w:rPr>
        <w:t>．住房改革支出（款）住房公积金（项）。年初预算</w:t>
      </w:r>
      <w:r>
        <w:rPr>
          <w:rFonts w:hint="eastAsia" w:ascii="仿宋_GB2312" w:hAnsi="仿宋_GB2312" w:eastAsia="仿宋_GB2312" w:cs="仿宋_GB2312"/>
          <w:kern w:val="0"/>
          <w:sz w:val="32"/>
          <w:szCs w:val="32"/>
          <w:u w:val="none"/>
          <w:lang w:val="en-US" w:eastAsia="zh-CN"/>
        </w:rPr>
        <w:t>54.07</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56.3</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104.12</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2025年我单位新考录5人，人员增加，住房公积金支出增加。</w:t>
      </w:r>
    </w:p>
    <w:p w14:paraId="39A133AF">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六、一般公共预算财政拨款基本支出决算情况说明</w:t>
      </w:r>
    </w:p>
    <w:p w14:paraId="3C52BA78">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Times New Roman" w:cs="Times New Roman"/>
          <w:kern w:val="0"/>
          <w:sz w:val="24"/>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年度一般公共预算财政拨款基本支出决算</w:t>
      </w:r>
      <w:r>
        <w:rPr>
          <w:rFonts w:hint="eastAsia" w:ascii="仿宋_GB2312" w:hAnsi="仿宋_GB2312" w:eastAsia="仿宋_GB2312" w:cs="仿宋_GB2312"/>
          <w:kern w:val="0"/>
          <w:sz w:val="32"/>
          <w:szCs w:val="32"/>
          <w:u w:val="none"/>
          <w:lang w:eastAsia="en-US"/>
        </w:rPr>
        <w:t xml:space="preserve"> 748.9</w:t>
      </w:r>
      <w:r>
        <w:rPr>
          <w:rFonts w:hint="eastAsia" w:ascii="仿宋_GB2312" w:hAnsi="仿宋_GB2312" w:eastAsia="仿宋_GB2312" w:cs="仿宋_GB2312"/>
          <w:kern w:val="0"/>
          <w:sz w:val="32"/>
          <w:szCs w:val="32"/>
          <w:u w:val="none"/>
          <w:lang w:val="en-US" w:eastAsia="zh-CN"/>
        </w:rPr>
        <w:t>4</w:t>
      </w:r>
      <w:r>
        <w:rPr>
          <w:rFonts w:hint="eastAsia" w:ascii="仿宋_GB2312" w:hAnsi="仿宋_GB2312" w:eastAsia="仿宋_GB2312" w:cs="仿宋_GB2312"/>
          <w:kern w:val="0"/>
          <w:sz w:val="32"/>
          <w:szCs w:val="32"/>
          <w:u w:val="none"/>
        </w:rPr>
        <w:t>万元，其中：</w:t>
      </w:r>
    </w:p>
    <w:p w14:paraId="209D4A47">
      <w:pPr>
        <w:pStyle w:val="33"/>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0"/>
          <w:sz w:val="32"/>
          <w:szCs w:val="32"/>
          <w:u w:val="none"/>
        </w:rPr>
      </w:pPr>
      <w:r>
        <w:rPr>
          <w:rFonts w:ascii="楷体" w:hAnsi="楷体" w:eastAsia="楷体" w:cs="楷体"/>
          <w:b/>
          <w:bCs/>
          <w:kern w:val="0"/>
          <w:sz w:val="32"/>
          <w:szCs w:val="32"/>
          <w:u w:val="none"/>
        </w:rPr>
        <w:t>（一）人员经费</w:t>
      </w:r>
      <w:r>
        <w:rPr>
          <w:rFonts w:eastAsia="Times New Roman"/>
          <w:kern w:val="0"/>
          <w:sz w:val="32"/>
          <w:szCs w:val="32"/>
          <w:u w:val="none"/>
          <w:lang w:eastAsia="en-US"/>
        </w:rPr>
        <w:t xml:space="preserve"> 708.86</w:t>
      </w:r>
      <w:r>
        <w:rPr>
          <w:rFonts w:ascii="楷体" w:hAnsi="楷体" w:eastAsia="楷体" w:cs="楷体"/>
          <w:b/>
          <w:bCs/>
          <w:kern w:val="0"/>
          <w:sz w:val="32"/>
          <w:szCs w:val="32"/>
          <w:u w:val="none"/>
        </w:rPr>
        <w:t>万元。</w:t>
      </w:r>
      <w:r>
        <w:rPr>
          <w:rFonts w:hint="eastAsia" w:ascii="仿宋_GB2312" w:hAnsi="仿宋_GB2312" w:eastAsia="仿宋_GB2312" w:cs="仿宋_GB2312"/>
          <w:kern w:val="0"/>
          <w:sz w:val="32"/>
          <w:szCs w:val="32"/>
          <w:u w:val="none"/>
        </w:rPr>
        <w:t>主要包括：基本工资、津贴补贴、奖金、伙食补助费、绩效工资、机关事业单位基本养老保险缴费、职业年金缴费、职工基本医疗保险缴费、公务员医疗补助缴费、住房公积金、其他工资福利支出、离休费、退休费、抚恤金、生活补助、医疗费补助、奖励金、其他对个人和家庭的补助支出等。</w:t>
      </w:r>
    </w:p>
    <w:p w14:paraId="24237916">
      <w:pPr>
        <w:pStyle w:val="10"/>
        <w:keepNext w:val="0"/>
        <w:keepLines w:val="0"/>
        <w:pageBreakBefore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val="en-US" w:eastAsia="zh-CN"/>
        </w:rPr>
        <w:t>1.工资福利支出</w:t>
      </w:r>
      <w:r>
        <w:rPr>
          <w:rFonts w:hint="eastAsia" w:ascii="仿宋_GB2312" w:hAnsi="仿宋_GB2312" w:eastAsia="仿宋_GB2312" w:cs="仿宋_GB2312"/>
          <w:sz w:val="32"/>
          <w:szCs w:val="32"/>
          <w:highlight w:val="none"/>
          <w:u w:val="none"/>
        </w:rPr>
        <w:t>类</w:t>
      </w:r>
      <w:r>
        <w:rPr>
          <w:rFonts w:hint="eastAsia" w:ascii="仿宋_GB2312" w:hAnsi="仿宋_GB2312" w:eastAsia="仿宋_GB2312" w:cs="仿宋_GB2312"/>
          <w:sz w:val="32"/>
          <w:szCs w:val="32"/>
          <w:highlight w:val="none"/>
          <w:u w:val="none"/>
          <w:lang w:val="en-US" w:eastAsia="zh-CN"/>
        </w:rPr>
        <w:t>决算</w:t>
      </w:r>
      <w:r>
        <w:rPr>
          <w:rFonts w:hint="eastAsia" w:ascii="仿宋_GB2312" w:hAnsi="仿宋_GB2312" w:eastAsia="仿宋_GB2312" w:cs="仿宋_GB2312"/>
          <w:sz w:val="32"/>
          <w:szCs w:val="32"/>
          <w:highlight w:val="none"/>
          <w:u w:val="none"/>
        </w:rPr>
        <w:t>数为</w:t>
      </w:r>
      <w:r>
        <w:rPr>
          <w:rFonts w:hint="eastAsia" w:ascii="仿宋_GB2312" w:hAnsi="仿宋_GB2312" w:eastAsia="仿宋_GB2312" w:cs="仿宋_GB2312"/>
          <w:sz w:val="32"/>
          <w:szCs w:val="32"/>
          <w:highlight w:val="none"/>
          <w:u w:val="none"/>
          <w:lang w:val="en-US" w:eastAsia="zh-CN"/>
        </w:rPr>
        <w:t>665.95</w:t>
      </w:r>
      <w:r>
        <w:rPr>
          <w:rFonts w:hint="eastAsia" w:ascii="仿宋_GB2312" w:hAnsi="仿宋_GB2312" w:eastAsia="仿宋_GB2312" w:cs="仿宋_GB2312"/>
          <w:sz w:val="32"/>
          <w:szCs w:val="32"/>
          <w:highlight w:val="none"/>
          <w:u w:val="none"/>
        </w:rPr>
        <w:t>万元，与</w:t>
      </w:r>
      <w:r>
        <w:rPr>
          <w:rFonts w:hint="eastAsia" w:ascii="仿宋_GB2312" w:hAnsi="仿宋_GB2312" w:eastAsia="仿宋_GB2312" w:cs="仿宋_GB2312"/>
          <w:sz w:val="32"/>
          <w:szCs w:val="32"/>
          <w:highlight w:val="none"/>
          <w:u w:val="none"/>
          <w:lang w:val="en-US" w:eastAsia="zh-CN"/>
        </w:rPr>
        <w:t>年初预算</w:t>
      </w:r>
      <w:r>
        <w:rPr>
          <w:rFonts w:hint="eastAsia" w:ascii="仿宋_GB2312" w:hAnsi="仿宋_GB2312" w:eastAsia="仿宋_GB2312" w:cs="仿宋_GB2312"/>
          <w:sz w:val="32"/>
          <w:szCs w:val="32"/>
          <w:highlight w:val="none"/>
          <w:u w:val="none"/>
        </w:rPr>
        <w:t>相比增加</w:t>
      </w:r>
      <w:r>
        <w:rPr>
          <w:rFonts w:hint="eastAsia" w:ascii="仿宋_GB2312" w:hAnsi="仿宋_GB2312" w:eastAsia="仿宋_GB2312" w:cs="仿宋_GB2312"/>
          <w:sz w:val="32"/>
          <w:szCs w:val="32"/>
          <w:highlight w:val="none"/>
          <w:u w:val="none"/>
          <w:lang w:val="en-US" w:eastAsia="zh-CN"/>
        </w:rPr>
        <w:t>63.05</w:t>
      </w:r>
      <w:r>
        <w:rPr>
          <w:rFonts w:hint="eastAsia" w:ascii="仿宋_GB2312" w:hAnsi="仿宋_GB2312" w:eastAsia="仿宋_GB2312" w:cs="仿宋_GB2312"/>
          <w:sz w:val="32"/>
          <w:szCs w:val="32"/>
          <w:highlight w:val="none"/>
          <w:u w:val="none"/>
        </w:rPr>
        <w:t>万元。其中：</w:t>
      </w:r>
    </w:p>
    <w:p w14:paraId="6D9ACD75">
      <w:pPr>
        <w:pStyle w:val="10"/>
        <w:keepNext w:val="0"/>
        <w:keepLines w:val="0"/>
        <w:pageBreakBefore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1</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基本工资</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191.71</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219.23</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114.35</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2025年我单位新考录5人，年初在职人员进行薪级工资调资，因此人员工资支出增加。</w:t>
      </w:r>
    </w:p>
    <w:p w14:paraId="394CC3C4">
      <w:pPr>
        <w:keepNext w:val="0"/>
        <w:keepLines w:val="0"/>
        <w:pageBreakBefore w:val="0"/>
        <w:kinsoku/>
        <w:wordWrap/>
        <w:overflowPunct/>
        <w:topLinePunct w:val="0"/>
        <w:autoSpaceDE/>
        <w:autoSpaceDN/>
        <w:bidi w:val="0"/>
        <w:snapToGrid/>
        <w:spacing w:line="560" w:lineRule="exact"/>
        <w:ind w:firstLine="640"/>
        <w:jc w:val="both"/>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2</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津贴补贴</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132.81</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kern w:val="0"/>
          <w:sz w:val="32"/>
          <w:szCs w:val="32"/>
          <w:u w:val="none"/>
          <w:lang w:val="en-US" w:eastAsia="zh-CN"/>
        </w:rPr>
        <w:t>144.77</w:t>
      </w:r>
      <w:r>
        <w:rPr>
          <w:rFonts w:hint="eastAsia" w:ascii="仿宋_GB2312" w:hAnsi="仿宋_GB2312" w:eastAsia="仿宋_GB2312" w:cs="仿宋_GB2312"/>
          <w:sz w:val="32"/>
          <w:szCs w:val="32"/>
          <w:highlight w:val="none"/>
          <w:u w:val="none"/>
        </w:rPr>
        <w:t>万元，完成年初预算</w:t>
      </w:r>
      <w:r>
        <w:rPr>
          <w:rFonts w:hint="eastAsia" w:ascii="仿宋_GB2312" w:hAnsi="仿宋_GB2312" w:eastAsia="仿宋_GB2312" w:cs="仿宋_GB2312"/>
          <w:sz w:val="32"/>
          <w:szCs w:val="32"/>
          <w:highlight w:val="none"/>
          <w:u w:val="none"/>
          <w:lang w:val="en-US" w:eastAsia="zh-CN"/>
        </w:rPr>
        <w:t>109</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2025年我单位新考录5人，年初在职人员进行薪级工资调资，因此人员工资支出增加。</w:t>
      </w:r>
    </w:p>
    <w:p w14:paraId="0D8A19BD">
      <w:pPr>
        <w:keepNext w:val="0"/>
        <w:keepLines w:val="0"/>
        <w:pageBreakBefore w:val="0"/>
        <w:kinsoku/>
        <w:wordWrap/>
        <w:overflowPunct/>
        <w:topLinePunct w:val="0"/>
        <w:autoSpaceDE/>
        <w:autoSpaceDN/>
        <w:bidi w:val="0"/>
        <w:snapToGrid/>
        <w:spacing w:line="560" w:lineRule="exact"/>
        <w:ind w:firstLine="64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3</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绩效工资</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70.77</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71.32</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100.77</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2025年我单位新考录5人，人员增加，绩效工资支出增加。</w:t>
      </w:r>
    </w:p>
    <w:p w14:paraId="5774AC33">
      <w:pPr>
        <w:keepNext w:val="0"/>
        <w:keepLines w:val="0"/>
        <w:pageBreakBefore w:val="0"/>
        <w:kinsoku/>
        <w:wordWrap/>
        <w:overflowPunct/>
        <w:topLinePunct w:val="0"/>
        <w:autoSpaceDE/>
        <w:autoSpaceDN/>
        <w:bidi w:val="0"/>
        <w:snapToGrid/>
        <w:spacing w:line="560" w:lineRule="exact"/>
        <w:ind w:firstLine="640"/>
        <w:jc w:val="both"/>
        <w:textAlignment w:val="auto"/>
        <w:rPr>
          <w:rFonts w:hint="eastAsia" w:ascii="仿宋_GB2312" w:hAnsi="仿宋_GB2312" w:eastAsia="仿宋_GB2312" w:cs="仿宋_GB2312"/>
          <w:color w:val="95B3D7"/>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4</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机关事业单位基本养老保险缴费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54.76</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62.51</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114.15</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2025年我单位新考录5人，人员增加，养老保险支出增加。</w:t>
      </w:r>
    </w:p>
    <w:p w14:paraId="0581E4F0">
      <w:pPr>
        <w:pStyle w:val="10"/>
        <w:keepNext w:val="0"/>
        <w:keepLines w:val="0"/>
        <w:pageBreakBefore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5</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职业年金缴费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0</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8.13</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highlight w:val="none"/>
          <w:u w:val="none"/>
          <w:lang w:val="en-US" w:eastAsia="zh-CN"/>
        </w:rPr>
        <w:t>职业年金公补部分不纳入年初预算</w:t>
      </w:r>
      <w:r>
        <w:rPr>
          <w:rFonts w:hint="eastAsia" w:ascii="仿宋_GB2312" w:hAnsi="仿宋_GB2312" w:eastAsia="仿宋_GB2312" w:cs="仿宋_GB2312"/>
          <w:sz w:val="32"/>
          <w:szCs w:val="32"/>
          <w:highlight w:val="none"/>
          <w:u w:val="none"/>
        </w:rPr>
        <w:t>。</w:t>
      </w:r>
    </w:p>
    <w:p w14:paraId="2DF6AE19">
      <w:pPr>
        <w:keepNext w:val="0"/>
        <w:keepLines w:val="0"/>
        <w:pageBreakBefore w:val="0"/>
        <w:kinsoku/>
        <w:wordWrap/>
        <w:overflowPunct/>
        <w:topLinePunct w:val="0"/>
        <w:autoSpaceDE/>
        <w:autoSpaceDN/>
        <w:bidi w:val="0"/>
        <w:snapToGrid/>
        <w:spacing w:line="560" w:lineRule="exact"/>
        <w:ind w:firstLine="64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6</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职工基本医疗保险缴费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27.8</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31.02</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111.58</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2025年我单位新考录5人，人员增加，基本医疗保险支出增加。</w:t>
      </w:r>
    </w:p>
    <w:p w14:paraId="18D664BA">
      <w:pPr>
        <w:keepNext w:val="0"/>
        <w:keepLines w:val="0"/>
        <w:pageBreakBefore w:val="0"/>
        <w:kinsoku/>
        <w:wordWrap/>
        <w:overflowPunct/>
        <w:topLinePunct w:val="0"/>
        <w:autoSpaceDE/>
        <w:autoSpaceDN/>
        <w:bidi w:val="0"/>
        <w:snapToGrid/>
        <w:spacing w:line="560" w:lineRule="exact"/>
        <w:ind w:firstLine="64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7</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公务员医疗补助缴费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13.33</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14.87</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111.55</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2025年我单位新考录5人，人员增加，公务员医疗补助支出增加。</w:t>
      </w:r>
    </w:p>
    <w:p w14:paraId="6B8C1EB6">
      <w:pPr>
        <w:keepNext w:val="0"/>
        <w:keepLines w:val="0"/>
        <w:pageBreakBefore w:val="0"/>
        <w:kinsoku/>
        <w:wordWrap/>
        <w:overflowPunct/>
        <w:topLinePunct w:val="0"/>
        <w:autoSpaceDE/>
        <w:autoSpaceDN/>
        <w:bidi w:val="0"/>
        <w:snapToGrid/>
        <w:spacing w:line="560" w:lineRule="exact"/>
        <w:ind w:firstLine="64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8</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其他社会保险缴费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2.61</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2.68</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102.68</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2025年我单位新考录5人，人员增加，工伤和失业保险支出增加。</w:t>
      </w:r>
    </w:p>
    <w:p w14:paraId="41C3FD0E">
      <w:pPr>
        <w:keepNext w:val="0"/>
        <w:keepLines w:val="0"/>
        <w:pageBreakBefore w:val="0"/>
        <w:kinsoku/>
        <w:wordWrap/>
        <w:overflowPunct/>
        <w:topLinePunct w:val="0"/>
        <w:autoSpaceDE/>
        <w:autoSpaceDN/>
        <w:bidi w:val="0"/>
        <w:snapToGrid/>
        <w:spacing w:line="560" w:lineRule="exact"/>
        <w:ind w:firstLine="640"/>
        <w:jc w:val="both"/>
        <w:textAlignment w:val="auto"/>
        <w:rPr>
          <w:rFonts w:hint="eastAsia" w:ascii="仿宋_GB2312" w:hAnsi="仿宋_GB2312" w:eastAsia="仿宋_GB2312" w:cs="仿宋_GB2312"/>
          <w:color w:val="95B3D7"/>
          <w:kern w:val="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9</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住房公积金</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54.07</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56.3</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104.12</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2025年我单位新考录5人，人员增加，住房公积金支出增加。</w:t>
      </w:r>
    </w:p>
    <w:p w14:paraId="38272614">
      <w:pPr>
        <w:pStyle w:val="10"/>
        <w:keepNext w:val="0"/>
        <w:keepLines w:val="0"/>
        <w:pageBreakBefore w:val="0"/>
        <w:kinsoku/>
        <w:wordWrap/>
        <w:overflowPunct/>
        <w:topLinePunct w:val="0"/>
        <w:autoSpaceDE/>
        <w:autoSpaceDN/>
        <w:bidi w:val="0"/>
        <w:snapToGrid/>
        <w:spacing w:after="0" w:line="560" w:lineRule="exact"/>
        <w:ind w:left="0" w:leftChars="0" w:firstLine="640" w:firstLineChars="200"/>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（10）其他工资福利支出</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55.04</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55.14</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100.18</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highlight w:val="none"/>
          <w:u w:val="none"/>
          <w:lang w:val="en-US" w:eastAsia="zh-CN"/>
        </w:rPr>
        <w:t>2025年新考录人员其中3人当年已转正，因此当年发放其他项工资。</w:t>
      </w:r>
    </w:p>
    <w:p w14:paraId="2ABAF737">
      <w:pPr>
        <w:pStyle w:val="10"/>
        <w:keepNext w:val="0"/>
        <w:keepLines w:val="0"/>
        <w:pageBreakBefore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2.对个人和家庭的补助</w:t>
      </w:r>
      <w:r>
        <w:rPr>
          <w:rFonts w:hint="eastAsia" w:ascii="仿宋_GB2312" w:hAnsi="仿宋_GB2312" w:eastAsia="仿宋_GB2312" w:cs="仿宋_GB2312"/>
          <w:sz w:val="32"/>
          <w:szCs w:val="32"/>
          <w:highlight w:val="none"/>
          <w:u w:val="none"/>
        </w:rPr>
        <w:t>类</w:t>
      </w:r>
      <w:r>
        <w:rPr>
          <w:rFonts w:hint="eastAsia" w:ascii="仿宋_GB2312" w:hAnsi="仿宋_GB2312" w:eastAsia="仿宋_GB2312" w:cs="仿宋_GB2312"/>
          <w:sz w:val="32"/>
          <w:szCs w:val="32"/>
          <w:highlight w:val="none"/>
          <w:u w:val="none"/>
          <w:lang w:val="en-US" w:eastAsia="zh-CN"/>
        </w:rPr>
        <w:t>决算</w:t>
      </w:r>
      <w:r>
        <w:rPr>
          <w:rFonts w:hint="eastAsia" w:ascii="仿宋_GB2312" w:hAnsi="仿宋_GB2312" w:eastAsia="仿宋_GB2312" w:cs="仿宋_GB2312"/>
          <w:sz w:val="32"/>
          <w:szCs w:val="32"/>
          <w:highlight w:val="none"/>
          <w:u w:val="none"/>
        </w:rPr>
        <w:t>数为</w:t>
      </w:r>
      <w:r>
        <w:rPr>
          <w:rFonts w:hint="eastAsia" w:ascii="仿宋_GB2312" w:hAnsi="仿宋_GB2312" w:eastAsia="仿宋_GB2312" w:cs="仿宋_GB2312"/>
          <w:sz w:val="32"/>
          <w:szCs w:val="32"/>
          <w:highlight w:val="none"/>
          <w:u w:val="none"/>
          <w:lang w:val="en-US" w:eastAsia="zh-CN"/>
        </w:rPr>
        <w:t>42.9</w:t>
      </w:r>
      <w:r>
        <w:rPr>
          <w:rFonts w:hint="eastAsia" w:ascii="仿宋_GB2312" w:hAnsi="仿宋_GB2312" w:eastAsia="仿宋_GB2312" w:cs="仿宋_GB2312"/>
          <w:sz w:val="32"/>
          <w:szCs w:val="32"/>
          <w:highlight w:val="none"/>
          <w:u w:val="none"/>
        </w:rPr>
        <w:t>万元，与</w:t>
      </w:r>
      <w:r>
        <w:rPr>
          <w:rFonts w:hint="eastAsia" w:ascii="仿宋_GB2312" w:hAnsi="仿宋_GB2312" w:eastAsia="仿宋_GB2312" w:cs="仿宋_GB2312"/>
          <w:sz w:val="32"/>
          <w:szCs w:val="32"/>
          <w:highlight w:val="none"/>
          <w:u w:val="none"/>
          <w:lang w:val="en-US" w:eastAsia="zh-CN"/>
        </w:rPr>
        <w:t>年初预算</w:t>
      </w:r>
      <w:r>
        <w:rPr>
          <w:rFonts w:hint="eastAsia" w:ascii="仿宋_GB2312" w:hAnsi="仿宋_GB2312" w:eastAsia="仿宋_GB2312" w:cs="仿宋_GB2312"/>
          <w:sz w:val="32"/>
          <w:szCs w:val="32"/>
          <w:highlight w:val="none"/>
          <w:u w:val="none"/>
        </w:rPr>
        <w:t>相比增加</w:t>
      </w:r>
      <w:r>
        <w:rPr>
          <w:rFonts w:hint="eastAsia" w:ascii="仿宋_GB2312" w:hAnsi="仿宋_GB2312" w:eastAsia="仿宋_GB2312" w:cs="仿宋_GB2312"/>
          <w:sz w:val="32"/>
          <w:szCs w:val="32"/>
          <w:highlight w:val="none"/>
          <w:u w:val="none"/>
          <w:lang w:val="en-US" w:eastAsia="zh-CN"/>
        </w:rPr>
        <w:t>2.14</w:t>
      </w:r>
      <w:r>
        <w:rPr>
          <w:rFonts w:hint="eastAsia" w:ascii="仿宋_GB2312" w:hAnsi="仿宋_GB2312" w:eastAsia="仿宋_GB2312" w:cs="仿宋_GB2312"/>
          <w:sz w:val="32"/>
          <w:szCs w:val="32"/>
          <w:highlight w:val="none"/>
          <w:u w:val="none"/>
        </w:rPr>
        <w:t>万元。其中：</w:t>
      </w:r>
    </w:p>
    <w:p w14:paraId="107C6AFA">
      <w:pPr>
        <w:pStyle w:val="10"/>
        <w:keepNext w:val="0"/>
        <w:keepLines w:val="0"/>
        <w:pageBreakBefore w:val="0"/>
        <w:kinsoku/>
        <w:wordWrap/>
        <w:overflowPunct/>
        <w:topLinePunct w:val="0"/>
        <w:autoSpaceDE/>
        <w:autoSpaceDN/>
        <w:bidi w:val="0"/>
        <w:snapToGrid/>
        <w:spacing w:after="0"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1</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退休费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35.49</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23.97</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67.54</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kern w:val="0"/>
          <w:sz w:val="32"/>
          <w:szCs w:val="32"/>
          <w:u w:val="none"/>
          <w:lang w:val="en-US" w:eastAsia="zh-CN"/>
        </w:rPr>
        <w:t>按照市财政统一要求，2025年4月开始，退休人员交通补贴和通讯补贴停发</w:t>
      </w:r>
      <w:r>
        <w:rPr>
          <w:rFonts w:hint="eastAsia" w:ascii="仿宋_GB2312" w:hAnsi="仿宋_GB2312" w:eastAsia="仿宋_GB2312" w:cs="仿宋_GB2312"/>
          <w:kern w:val="0"/>
          <w:sz w:val="32"/>
          <w:szCs w:val="32"/>
          <w:u w:val="none"/>
        </w:rPr>
        <w:t>。</w:t>
      </w:r>
    </w:p>
    <w:p w14:paraId="2E5754CB">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val="en-US" w:eastAsia="zh-CN"/>
        </w:rPr>
        <w:t>（2）抚恤金</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0</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13.36</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highlight w:val="none"/>
          <w:u w:val="none"/>
          <w:lang w:val="en-US" w:eastAsia="zh-CN"/>
        </w:rPr>
        <w:t>抚恤金未纳入预算，2024年职工去世后2025年追加后发放</w:t>
      </w:r>
      <w:r>
        <w:rPr>
          <w:rFonts w:hint="eastAsia" w:ascii="仿宋_GB2312" w:hAnsi="仿宋_GB2312" w:eastAsia="仿宋_GB2312" w:cs="仿宋_GB2312"/>
          <w:sz w:val="32"/>
          <w:szCs w:val="32"/>
          <w:highlight w:val="none"/>
          <w:u w:val="none"/>
        </w:rPr>
        <w:t>。</w:t>
      </w:r>
    </w:p>
    <w:p w14:paraId="6B2A1CF9">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3</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生活补助</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5.27</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5.57</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105.69</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highlight w:val="none"/>
          <w:u w:val="none"/>
          <w:lang w:val="en-US" w:eastAsia="zh-CN"/>
        </w:rPr>
        <w:t>遗属补助进行调标</w:t>
      </w:r>
      <w:r>
        <w:rPr>
          <w:rFonts w:hint="eastAsia" w:ascii="仿宋_GB2312" w:hAnsi="仿宋_GB2312" w:eastAsia="仿宋_GB2312" w:cs="仿宋_GB2312"/>
          <w:sz w:val="32"/>
          <w:szCs w:val="32"/>
          <w:highlight w:val="none"/>
          <w:u w:val="none"/>
        </w:rPr>
        <w:t>。</w:t>
      </w:r>
    </w:p>
    <w:p w14:paraId="438A4E26">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firstLineChars="200"/>
        <w:jc w:val="both"/>
        <w:textAlignment w:val="auto"/>
        <w:rPr>
          <w:rFonts w:hint="eastAsia" w:ascii="仿宋_GB2312" w:hAnsi="仿宋_GB2312" w:eastAsia="仿宋_GB2312" w:cs="仿宋_GB2312"/>
          <w:kern w:val="0"/>
          <w:sz w:val="32"/>
          <w:szCs w:val="32"/>
          <w:u w:val="none"/>
        </w:rPr>
      </w:pPr>
      <w:r>
        <w:rPr>
          <w:rFonts w:ascii="FangSong_GB2312" w:hAnsi="FangSong_GB2312" w:eastAsia="FangSong_GB2312" w:cs="FangSong_GB2312"/>
          <w:b/>
          <w:bCs/>
          <w:kern w:val="0"/>
          <w:sz w:val="32"/>
          <w:szCs w:val="32"/>
          <w:u w:val="none"/>
        </w:rPr>
        <w:t>（二）公用经费</w:t>
      </w:r>
      <w:r>
        <w:rPr>
          <w:rFonts w:eastAsia="Times New Roman"/>
          <w:kern w:val="0"/>
          <w:sz w:val="32"/>
          <w:szCs w:val="32"/>
          <w:u w:val="none"/>
          <w:lang w:eastAsia="en-US"/>
        </w:rPr>
        <w:t xml:space="preserve"> 40.08</w:t>
      </w:r>
      <w:r>
        <w:rPr>
          <w:rFonts w:ascii="FangSong_GB2312" w:hAnsi="FangSong_GB2312" w:eastAsia="FangSong_GB2312" w:cs="FangSong_GB2312"/>
          <w:b/>
          <w:bCs/>
          <w:kern w:val="0"/>
          <w:sz w:val="32"/>
          <w:szCs w:val="32"/>
          <w:u w:val="none"/>
        </w:rPr>
        <w:t>万元。</w:t>
      </w:r>
      <w:r>
        <w:rPr>
          <w:rFonts w:hint="eastAsia" w:ascii="仿宋_GB2312" w:hAnsi="仿宋_GB2312" w:eastAsia="仿宋_GB2312" w:cs="仿宋_GB2312"/>
          <w:kern w:val="0"/>
          <w:sz w:val="32"/>
          <w:szCs w:val="32"/>
          <w:u w:val="none"/>
        </w:rPr>
        <w:t>主要包括：办公费、印刷费、手续费、水费、电费、邮电费、取暖费、物业管理费、差旅费、维修（护）费、租赁费、会议费、培训费、公务接待费、专用材料费、劳务费、委托业务费、工会经费、福利费、公务用车运行维护费、其他交通费用、其他商品和服务支出、办公设备购置、专用设备购置、信息网络及软件购置更新、其他资本性支出等。</w:t>
      </w:r>
    </w:p>
    <w:p w14:paraId="3D007AF6">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1.商品和服务支出</w:t>
      </w:r>
      <w:r>
        <w:rPr>
          <w:rFonts w:hint="eastAsia" w:ascii="仿宋_GB2312" w:hAnsi="仿宋_GB2312" w:eastAsia="仿宋_GB2312" w:cs="仿宋_GB2312"/>
          <w:sz w:val="32"/>
          <w:szCs w:val="32"/>
          <w:highlight w:val="none"/>
          <w:u w:val="none"/>
        </w:rPr>
        <w:t>类</w:t>
      </w:r>
      <w:r>
        <w:rPr>
          <w:rFonts w:hint="eastAsia" w:ascii="仿宋_GB2312" w:hAnsi="仿宋_GB2312" w:eastAsia="仿宋_GB2312" w:cs="仿宋_GB2312"/>
          <w:sz w:val="32"/>
          <w:szCs w:val="32"/>
          <w:highlight w:val="none"/>
          <w:u w:val="none"/>
          <w:lang w:val="en-US" w:eastAsia="zh-CN"/>
        </w:rPr>
        <w:t>决算</w:t>
      </w:r>
      <w:r>
        <w:rPr>
          <w:rFonts w:hint="eastAsia" w:ascii="仿宋_GB2312" w:hAnsi="仿宋_GB2312" w:eastAsia="仿宋_GB2312" w:cs="仿宋_GB2312"/>
          <w:sz w:val="32"/>
          <w:szCs w:val="32"/>
          <w:highlight w:val="none"/>
          <w:u w:val="none"/>
        </w:rPr>
        <w:t>数为</w:t>
      </w:r>
      <w:r>
        <w:rPr>
          <w:rFonts w:hint="eastAsia" w:ascii="仿宋_GB2312" w:hAnsi="仿宋_GB2312" w:eastAsia="仿宋_GB2312" w:cs="仿宋_GB2312"/>
          <w:sz w:val="32"/>
          <w:szCs w:val="32"/>
          <w:highlight w:val="none"/>
          <w:u w:val="none"/>
          <w:lang w:val="en-US" w:eastAsia="zh-CN"/>
        </w:rPr>
        <w:t>34.3</w:t>
      </w:r>
      <w:r>
        <w:rPr>
          <w:rFonts w:hint="eastAsia" w:ascii="仿宋_GB2312" w:hAnsi="仿宋_GB2312" w:eastAsia="仿宋_GB2312" w:cs="仿宋_GB2312"/>
          <w:sz w:val="32"/>
          <w:szCs w:val="32"/>
          <w:highlight w:val="none"/>
          <w:u w:val="none"/>
        </w:rPr>
        <w:t>万元，与</w:t>
      </w:r>
      <w:r>
        <w:rPr>
          <w:rFonts w:hint="eastAsia" w:ascii="仿宋_GB2312" w:hAnsi="仿宋_GB2312" w:eastAsia="仿宋_GB2312" w:cs="仿宋_GB2312"/>
          <w:sz w:val="32"/>
          <w:szCs w:val="32"/>
          <w:highlight w:val="none"/>
          <w:u w:val="none"/>
          <w:lang w:val="en-US" w:eastAsia="zh-CN"/>
        </w:rPr>
        <w:t>年初预算</w:t>
      </w:r>
      <w:r>
        <w:rPr>
          <w:rFonts w:hint="eastAsia" w:ascii="仿宋_GB2312" w:hAnsi="仿宋_GB2312" w:eastAsia="仿宋_GB2312" w:cs="仿宋_GB2312"/>
          <w:sz w:val="32"/>
          <w:szCs w:val="32"/>
          <w:highlight w:val="none"/>
          <w:u w:val="none"/>
        </w:rPr>
        <w:t>相比</w:t>
      </w:r>
      <w:r>
        <w:rPr>
          <w:rFonts w:hint="eastAsia" w:ascii="仿宋_GB2312" w:hAnsi="仿宋_GB2312" w:eastAsia="仿宋_GB2312" w:cs="仿宋_GB2312"/>
          <w:sz w:val="32"/>
          <w:szCs w:val="32"/>
          <w:highlight w:val="none"/>
          <w:u w:val="none"/>
          <w:lang w:eastAsia="zh-CN"/>
        </w:rPr>
        <w:t>减少</w:t>
      </w:r>
      <w:r>
        <w:rPr>
          <w:rFonts w:hint="eastAsia" w:ascii="仿宋_GB2312" w:hAnsi="仿宋_GB2312" w:eastAsia="仿宋_GB2312" w:cs="仿宋_GB2312"/>
          <w:sz w:val="32"/>
          <w:szCs w:val="32"/>
          <w:highlight w:val="none"/>
          <w:u w:val="none"/>
          <w:lang w:val="en-US" w:eastAsia="zh-CN"/>
        </w:rPr>
        <w:t>2.72</w:t>
      </w:r>
      <w:r>
        <w:rPr>
          <w:rFonts w:hint="eastAsia" w:ascii="仿宋_GB2312" w:hAnsi="仿宋_GB2312" w:eastAsia="仿宋_GB2312" w:cs="仿宋_GB2312"/>
          <w:sz w:val="32"/>
          <w:szCs w:val="32"/>
          <w:highlight w:val="none"/>
          <w:u w:val="none"/>
        </w:rPr>
        <w:t>万元。其中：</w:t>
      </w:r>
    </w:p>
    <w:p w14:paraId="0E4EDD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1</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办公费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9.78</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7.31</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74.74</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lang w:val="en-US" w:eastAsia="zh-CN"/>
        </w:rPr>
        <w:t>购买办公用品商家因年底税票使用完，无法开具税票。</w:t>
      </w:r>
    </w:p>
    <w:p w14:paraId="2E3E9F07">
      <w:pPr>
        <w:pStyle w:val="10"/>
        <w:keepNext w:val="0"/>
        <w:keepLines w:val="0"/>
        <w:pageBreakBefore w:val="0"/>
        <w:widowControl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水费</w:t>
      </w:r>
      <w:r>
        <w:rPr>
          <w:rFonts w:hint="eastAsia" w:ascii="仿宋_GB2312" w:hAnsi="仿宋_GB2312" w:eastAsia="仿宋_GB2312" w:cs="仿宋_GB2312"/>
          <w:color w:val="auto"/>
          <w:sz w:val="32"/>
          <w:szCs w:val="32"/>
          <w:highlight w:val="none"/>
          <w:u w:val="none"/>
        </w:rPr>
        <w:t>（款）。年初预算</w:t>
      </w:r>
      <w:r>
        <w:rPr>
          <w:rFonts w:hint="eastAsia" w:ascii="仿宋_GB2312" w:hAnsi="仿宋_GB2312" w:eastAsia="仿宋_GB2312" w:cs="仿宋_GB2312"/>
          <w:color w:val="auto"/>
          <w:sz w:val="32"/>
          <w:szCs w:val="32"/>
          <w:highlight w:val="none"/>
          <w:u w:val="none"/>
          <w:lang w:val="en-US" w:eastAsia="zh-CN"/>
        </w:rPr>
        <w:t>0.26</w:t>
      </w:r>
      <w:r>
        <w:rPr>
          <w:rFonts w:hint="eastAsia" w:ascii="仿宋_GB2312" w:hAnsi="仿宋_GB2312" w:eastAsia="仿宋_GB2312" w:cs="仿宋_GB2312"/>
          <w:color w:val="auto"/>
          <w:sz w:val="32"/>
          <w:szCs w:val="32"/>
          <w:highlight w:val="none"/>
          <w:u w:val="none"/>
        </w:rPr>
        <w:t>万元，支出决算</w:t>
      </w:r>
      <w:r>
        <w:rPr>
          <w:rFonts w:hint="eastAsia" w:ascii="仿宋_GB2312" w:hAnsi="仿宋_GB2312" w:eastAsia="仿宋_GB2312" w:cs="仿宋_GB2312"/>
          <w:color w:val="auto"/>
          <w:sz w:val="32"/>
          <w:szCs w:val="32"/>
          <w:highlight w:val="none"/>
          <w:u w:val="none"/>
          <w:lang w:val="en-US" w:eastAsia="zh-CN"/>
        </w:rPr>
        <w:t>0.02</w:t>
      </w:r>
      <w:r>
        <w:rPr>
          <w:rFonts w:hint="eastAsia" w:ascii="仿宋_GB2312" w:hAnsi="仿宋_GB2312" w:eastAsia="仿宋_GB2312" w:cs="仿宋_GB2312"/>
          <w:color w:val="auto"/>
          <w:sz w:val="32"/>
          <w:szCs w:val="32"/>
          <w:highlight w:val="none"/>
          <w:u w:val="none"/>
        </w:rPr>
        <w:t>万元，完成年初预算的</w:t>
      </w:r>
      <w:r>
        <w:rPr>
          <w:rFonts w:hint="eastAsia" w:ascii="仿宋_GB2312" w:hAnsi="仿宋_GB2312" w:eastAsia="仿宋_GB2312" w:cs="仿宋_GB2312"/>
          <w:color w:val="auto"/>
          <w:sz w:val="32"/>
          <w:szCs w:val="32"/>
          <w:highlight w:val="none"/>
          <w:u w:val="none"/>
          <w:lang w:val="en-US" w:eastAsia="zh-CN"/>
        </w:rPr>
        <w:t>7.69</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。决算数与年初预算数的差异原因：</w:t>
      </w:r>
      <w:r>
        <w:rPr>
          <w:rFonts w:hint="eastAsia" w:ascii="仿宋_GB2312" w:hAnsi="仿宋_GB2312" w:eastAsia="仿宋_GB2312" w:cs="仿宋_GB2312"/>
          <w:color w:val="auto"/>
          <w:sz w:val="32"/>
          <w:szCs w:val="32"/>
          <w:highlight w:val="none"/>
          <w:u w:val="none"/>
          <w:lang w:eastAsia="zh-CN"/>
        </w:rPr>
        <w:t>由于物业费分摊面积增加，造成其不足，所以调剂部分水费到物业费</w:t>
      </w:r>
      <w:r>
        <w:rPr>
          <w:rFonts w:hint="eastAsia" w:ascii="仿宋_GB2312" w:hAnsi="仿宋_GB2312" w:eastAsia="仿宋_GB2312" w:cs="仿宋_GB2312"/>
          <w:color w:val="auto"/>
          <w:sz w:val="32"/>
          <w:szCs w:val="32"/>
          <w:highlight w:val="none"/>
          <w:u w:val="none"/>
        </w:rPr>
        <w:t>。</w:t>
      </w:r>
    </w:p>
    <w:p w14:paraId="5078F403">
      <w:pPr>
        <w:pStyle w:val="10"/>
        <w:keepNext w:val="0"/>
        <w:keepLines w:val="0"/>
        <w:pageBreakBefore w:val="0"/>
        <w:widowControl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3</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电费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1.56</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1.56</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。决算数与年初预算数的差异原因：决算数与年初预算数</w:t>
      </w:r>
      <w:r>
        <w:rPr>
          <w:rFonts w:hint="eastAsia" w:ascii="仿宋_GB2312" w:hAnsi="仿宋_GB2312" w:eastAsia="仿宋_GB2312" w:cs="仿宋_GB2312"/>
          <w:sz w:val="32"/>
          <w:szCs w:val="32"/>
          <w:highlight w:val="none"/>
          <w:u w:val="none"/>
          <w:lang w:val="en-US" w:eastAsia="zh-CN"/>
        </w:rPr>
        <w:t>无差异</w:t>
      </w:r>
      <w:r>
        <w:rPr>
          <w:rFonts w:hint="eastAsia" w:ascii="仿宋_GB2312" w:hAnsi="仿宋_GB2312" w:eastAsia="仿宋_GB2312" w:cs="仿宋_GB2312"/>
          <w:sz w:val="32"/>
          <w:szCs w:val="32"/>
          <w:highlight w:val="none"/>
          <w:u w:val="none"/>
        </w:rPr>
        <w:t>。</w:t>
      </w:r>
    </w:p>
    <w:p w14:paraId="56605C2D">
      <w:pPr>
        <w:pStyle w:val="10"/>
        <w:keepNext w:val="0"/>
        <w:keepLines w:val="0"/>
        <w:pageBreakBefore w:val="0"/>
        <w:widowControl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4</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邮电费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0.61</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0.61</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。决算数与年初预算数的差异原因：决算数与年初预算数</w:t>
      </w:r>
      <w:r>
        <w:rPr>
          <w:rFonts w:hint="eastAsia" w:ascii="仿宋_GB2312" w:hAnsi="仿宋_GB2312" w:eastAsia="仿宋_GB2312" w:cs="仿宋_GB2312"/>
          <w:sz w:val="32"/>
          <w:szCs w:val="32"/>
          <w:highlight w:val="none"/>
          <w:u w:val="none"/>
          <w:lang w:val="en-US" w:eastAsia="zh-CN"/>
        </w:rPr>
        <w:t>无差异</w:t>
      </w:r>
      <w:r>
        <w:rPr>
          <w:rFonts w:hint="eastAsia" w:ascii="仿宋_GB2312" w:hAnsi="仿宋_GB2312" w:eastAsia="仿宋_GB2312" w:cs="仿宋_GB2312"/>
          <w:sz w:val="32"/>
          <w:szCs w:val="32"/>
          <w:highlight w:val="none"/>
          <w:u w:val="none"/>
        </w:rPr>
        <w:t>。</w:t>
      </w:r>
    </w:p>
    <w:p w14:paraId="06DAE026">
      <w:pPr>
        <w:pStyle w:val="10"/>
        <w:keepNext w:val="0"/>
        <w:keepLines w:val="0"/>
        <w:pageBreakBefore w:val="0"/>
        <w:widowControl w:val="0"/>
        <w:kinsoku/>
        <w:wordWrap/>
        <w:overflowPunct/>
        <w:topLinePunct w:val="0"/>
        <w:autoSpaceDE/>
        <w:autoSpaceDN/>
        <w:bidi w:val="0"/>
        <w:adjustRightInd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5</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取暖费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7.06</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7.06</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100</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。决算数与年初预算数的差异原因：决算数与年初预算数</w:t>
      </w:r>
      <w:r>
        <w:rPr>
          <w:rFonts w:hint="eastAsia" w:ascii="仿宋_GB2312" w:hAnsi="仿宋_GB2312" w:eastAsia="仿宋_GB2312" w:cs="仿宋_GB2312"/>
          <w:sz w:val="32"/>
          <w:szCs w:val="32"/>
          <w:highlight w:val="none"/>
          <w:u w:val="none"/>
          <w:lang w:val="en-US" w:eastAsia="zh-CN"/>
        </w:rPr>
        <w:t>无差异</w:t>
      </w:r>
      <w:r>
        <w:rPr>
          <w:rFonts w:hint="eastAsia" w:ascii="仿宋_GB2312" w:hAnsi="仿宋_GB2312" w:eastAsia="仿宋_GB2312" w:cs="仿宋_GB2312"/>
          <w:sz w:val="32"/>
          <w:szCs w:val="32"/>
          <w:highlight w:val="none"/>
          <w:u w:val="none"/>
        </w:rPr>
        <w:t>。</w:t>
      </w:r>
    </w:p>
    <w:p w14:paraId="10A82345">
      <w:pPr>
        <w:pStyle w:val="10"/>
        <w:keepNext w:val="0"/>
        <w:keepLines w:val="0"/>
        <w:pageBreakBefore w:val="0"/>
        <w:widowControl w:val="0"/>
        <w:kinsoku/>
        <w:wordWrap/>
        <w:overflowPunct/>
        <w:topLinePunct w:val="0"/>
        <w:autoSpaceDE/>
        <w:autoSpaceDN/>
        <w:bidi w:val="0"/>
        <w:adjustRightInd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6</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物业管理费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7.74</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7.97</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102.97</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highlight w:val="none"/>
          <w:u w:val="none"/>
          <w:lang w:eastAsia="zh-CN"/>
        </w:rPr>
        <w:t>单位分摊面积增加，物业费也相应增加</w:t>
      </w:r>
      <w:r>
        <w:rPr>
          <w:rFonts w:hint="eastAsia" w:ascii="仿宋_GB2312" w:hAnsi="仿宋_GB2312" w:eastAsia="仿宋_GB2312" w:cs="仿宋_GB2312"/>
          <w:sz w:val="32"/>
          <w:szCs w:val="32"/>
          <w:highlight w:val="none"/>
          <w:u w:val="none"/>
        </w:rPr>
        <w:t>。</w:t>
      </w:r>
    </w:p>
    <w:p w14:paraId="201B1C9D">
      <w:pPr>
        <w:pStyle w:val="10"/>
        <w:keepNext w:val="0"/>
        <w:keepLines w:val="0"/>
        <w:pageBreakBefore w:val="0"/>
        <w:widowControl w:val="0"/>
        <w:kinsoku/>
        <w:wordWrap/>
        <w:overflowPunct/>
        <w:topLinePunct w:val="0"/>
        <w:autoSpaceDE/>
        <w:autoSpaceDN/>
        <w:bidi w:val="0"/>
        <w:adjustRightInd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7</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工会经费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7.31</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7.31</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103.1</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。决算数与年初预算数的差异原因：决算数与年初预算数</w:t>
      </w:r>
      <w:r>
        <w:rPr>
          <w:rFonts w:hint="eastAsia" w:ascii="仿宋_GB2312" w:hAnsi="仿宋_GB2312" w:eastAsia="仿宋_GB2312" w:cs="仿宋_GB2312"/>
          <w:sz w:val="32"/>
          <w:szCs w:val="32"/>
          <w:highlight w:val="none"/>
          <w:u w:val="none"/>
          <w:lang w:val="en-US" w:eastAsia="zh-CN"/>
        </w:rPr>
        <w:t>无差异</w:t>
      </w:r>
      <w:r>
        <w:rPr>
          <w:rFonts w:hint="eastAsia" w:ascii="仿宋_GB2312" w:hAnsi="仿宋_GB2312" w:eastAsia="仿宋_GB2312" w:cs="仿宋_GB2312"/>
          <w:sz w:val="32"/>
          <w:szCs w:val="32"/>
          <w:highlight w:val="none"/>
          <w:u w:val="none"/>
        </w:rPr>
        <w:t>。</w:t>
      </w:r>
    </w:p>
    <w:p w14:paraId="01E95B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FF0000"/>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8</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公务用车运行维护费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1.5</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1.3</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86.67</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color w:val="auto"/>
          <w:sz w:val="32"/>
          <w:szCs w:val="32"/>
          <w:lang w:val="en-US" w:eastAsia="zh-CN"/>
        </w:rPr>
        <w:t>定点维修单位因承接任务饱和、配件供应延迟，未能在年内完成车辆检修项目，相应费用暂缓支付。</w:t>
      </w:r>
    </w:p>
    <w:p w14:paraId="2C6DBE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9</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福利费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1.2</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1.16</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96.67</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lang w:val="en-US" w:eastAsia="zh-CN"/>
        </w:rPr>
        <w:t>单位一名女职工2月办理退休，结余剩余10个月的妇女卫生费</w:t>
      </w:r>
      <w:r>
        <w:rPr>
          <w:rFonts w:hint="eastAsia" w:ascii="仿宋_GB2312" w:hAnsi="仿宋_GB2312" w:eastAsia="仿宋_GB2312" w:cs="仿宋_GB2312"/>
          <w:sz w:val="32"/>
          <w:szCs w:val="32"/>
          <w:highlight w:val="none"/>
          <w:u w:val="none"/>
          <w:lang w:val="en-US" w:eastAsia="zh-CN"/>
        </w:rPr>
        <w:t>。</w:t>
      </w:r>
    </w:p>
    <w:p w14:paraId="049AACB1">
      <w:pPr>
        <w:pStyle w:val="10"/>
        <w:keepNext w:val="0"/>
        <w:keepLines w:val="0"/>
        <w:pageBreakBefore w:val="0"/>
        <w:widowControl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2.资本性支出</w:t>
      </w:r>
      <w:r>
        <w:rPr>
          <w:rFonts w:hint="eastAsia" w:ascii="仿宋_GB2312" w:hAnsi="仿宋_GB2312" w:eastAsia="仿宋_GB2312" w:cs="仿宋_GB2312"/>
          <w:sz w:val="32"/>
          <w:szCs w:val="32"/>
          <w:highlight w:val="none"/>
          <w:u w:val="none"/>
        </w:rPr>
        <w:t>类</w:t>
      </w:r>
      <w:r>
        <w:rPr>
          <w:rFonts w:hint="eastAsia" w:ascii="仿宋_GB2312" w:hAnsi="仿宋_GB2312" w:eastAsia="仿宋_GB2312" w:cs="仿宋_GB2312"/>
          <w:sz w:val="32"/>
          <w:szCs w:val="32"/>
          <w:highlight w:val="none"/>
          <w:u w:val="none"/>
          <w:lang w:val="en-US" w:eastAsia="zh-CN"/>
        </w:rPr>
        <w:t>决算</w:t>
      </w:r>
      <w:r>
        <w:rPr>
          <w:rFonts w:hint="eastAsia" w:ascii="仿宋_GB2312" w:hAnsi="仿宋_GB2312" w:eastAsia="仿宋_GB2312" w:cs="仿宋_GB2312"/>
          <w:sz w:val="32"/>
          <w:szCs w:val="32"/>
          <w:highlight w:val="none"/>
          <w:u w:val="none"/>
        </w:rPr>
        <w:t>数为</w:t>
      </w:r>
      <w:r>
        <w:rPr>
          <w:rFonts w:hint="eastAsia" w:ascii="仿宋_GB2312" w:hAnsi="仿宋_GB2312" w:eastAsia="仿宋_GB2312" w:cs="仿宋_GB2312"/>
          <w:sz w:val="32"/>
          <w:szCs w:val="32"/>
          <w:highlight w:val="none"/>
          <w:u w:val="none"/>
          <w:lang w:val="en-US" w:eastAsia="zh-CN"/>
        </w:rPr>
        <w:t>5.78</w:t>
      </w:r>
      <w:r>
        <w:rPr>
          <w:rFonts w:hint="eastAsia" w:ascii="仿宋_GB2312" w:hAnsi="仿宋_GB2312" w:eastAsia="仿宋_GB2312" w:cs="仿宋_GB2312"/>
          <w:sz w:val="32"/>
          <w:szCs w:val="32"/>
          <w:highlight w:val="none"/>
          <w:u w:val="none"/>
        </w:rPr>
        <w:t>万元，与</w:t>
      </w:r>
      <w:r>
        <w:rPr>
          <w:rFonts w:hint="eastAsia" w:ascii="仿宋_GB2312" w:hAnsi="仿宋_GB2312" w:eastAsia="仿宋_GB2312" w:cs="仿宋_GB2312"/>
          <w:sz w:val="32"/>
          <w:szCs w:val="32"/>
          <w:highlight w:val="none"/>
          <w:u w:val="none"/>
          <w:lang w:val="en-US" w:eastAsia="zh-CN"/>
        </w:rPr>
        <w:t>年初预算</w:t>
      </w:r>
      <w:r>
        <w:rPr>
          <w:rFonts w:hint="eastAsia" w:ascii="仿宋_GB2312" w:hAnsi="仿宋_GB2312" w:eastAsia="仿宋_GB2312" w:cs="仿宋_GB2312"/>
          <w:sz w:val="32"/>
          <w:szCs w:val="32"/>
          <w:highlight w:val="none"/>
          <w:u w:val="none"/>
        </w:rPr>
        <w:t>相比</w:t>
      </w:r>
      <w:r>
        <w:rPr>
          <w:rFonts w:hint="eastAsia" w:ascii="仿宋_GB2312" w:hAnsi="仿宋_GB2312" w:eastAsia="仿宋_GB2312" w:cs="仿宋_GB2312"/>
          <w:sz w:val="32"/>
          <w:szCs w:val="32"/>
          <w:highlight w:val="none"/>
          <w:u w:val="none"/>
          <w:lang w:eastAsia="zh-CN"/>
        </w:rPr>
        <w:t>增加</w:t>
      </w:r>
      <w:r>
        <w:rPr>
          <w:rFonts w:hint="eastAsia" w:ascii="仿宋_GB2312" w:hAnsi="仿宋_GB2312" w:eastAsia="仿宋_GB2312" w:cs="仿宋_GB2312"/>
          <w:sz w:val="32"/>
          <w:szCs w:val="32"/>
          <w:highlight w:val="none"/>
          <w:u w:val="none"/>
          <w:lang w:val="en-US" w:eastAsia="zh-CN"/>
        </w:rPr>
        <w:t>2.28</w:t>
      </w:r>
      <w:r>
        <w:rPr>
          <w:rFonts w:hint="eastAsia" w:ascii="仿宋_GB2312" w:hAnsi="仿宋_GB2312" w:eastAsia="仿宋_GB2312" w:cs="仿宋_GB2312"/>
          <w:sz w:val="32"/>
          <w:szCs w:val="32"/>
          <w:highlight w:val="none"/>
          <w:u w:val="none"/>
        </w:rPr>
        <w:t>万元。其中：</w:t>
      </w:r>
    </w:p>
    <w:p w14:paraId="1C653ED4">
      <w:pPr>
        <w:pStyle w:val="10"/>
        <w:keepNext w:val="0"/>
        <w:keepLines w:val="0"/>
        <w:pageBreakBefore w:val="0"/>
        <w:widowControl w:val="0"/>
        <w:kinsoku/>
        <w:wordWrap/>
        <w:overflowPunct/>
        <w:topLinePunct w:val="0"/>
        <w:autoSpaceDE/>
        <w:autoSpaceDN/>
        <w:bidi w:val="0"/>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1</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办公设备购置费</w:t>
      </w:r>
      <w:r>
        <w:rPr>
          <w:rFonts w:hint="eastAsia" w:ascii="仿宋_GB2312" w:hAnsi="仿宋_GB2312" w:eastAsia="仿宋_GB2312" w:cs="仿宋_GB2312"/>
          <w:sz w:val="32"/>
          <w:szCs w:val="32"/>
          <w:highlight w:val="none"/>
          <w:u w:val="none"/>
        </w:rPr>
        <w:t>（款）。年初预算</w:t>
      </w:r>
      <w:r>
        <w:rPr>
          <w:rFonts w:hint="eastAsia" w:ascii="仿宋_GB2312" w:hAnsi="仿宋_GB2312" w:eastAsia="仿宋_GB2312" w:cs="仿宋_GB2312"/>
          <w:sz w:val="32"/>
          <w:szCs w:val="32"/>
          <w:highlight w:val="none"/>
          <w:u w:val="none"/>
          <w:lang w:val="en-US" w:eastAsia="zh-CN"/>
        </w:rPr>
        <w:t>3.5</w:t>
      </w:r>
      <w:r>
        <w:rPr>
          <w:rFonts w:hint="eastAsia" w:ascii="仿宋_GB2312" w:hAnsi="仿宋_GB2312" w:eastAsia="仿宋_GB2312" w:cs="仿宋_GB2312"/>
          <w:sz w:val="32"/>
          <w:szCs w:val="32"/>
          <w:highlight w:val="none"/>
          <w:u w:val="none"/>
        </w:rPr>
        <w:t>万元，支出决算</w:t>
      </w:r>
      <w:r>
        <w:rPr>
          <w:rFonts w:hint="eastAsia" w:ascii="仿宋_GB2312" w:hAnsi="仿宋_GB2312" w:eastAsia="仿宋_GB2312" w:cs="仿宋_GB2312"/>
          <w:sz w:val="32"/>
          <w:szCs w:val="32"/>
          <w:highlight w:val="none"/>
          <w:u w:val="none"/>
          <w:lang w:val="en-US" w:eastAsia="zh-CN"/>
        </w:rPr>
        <w:t>5.78</w:t>
      </w:r>
      <w:r>
        <w:rPr>
          <w:rFonts w:hint="eastAsia" w:ascii="仿宋_GB2312" w:hAnsi="仿宋_GB2312" w:eastAsia="仿宋_GB2312" w:cs="仿宋_GB2312"/>
          <w:sz w:val="32"/>
          <w:szCs w:val="32"/>
          <w:highlight w:val="none"/>
          <w:u w:val="none"/>
        </w:rPr>
        <w:t>万元，完成年初预算的</w:t>
      </w:r>
      <w:r>
        <w:rPr>
          <w:rFonts w:hint="eastAsia" w:ascii="仿宋_GB2312" w:hAnsi="仿宋_GB2312" w:eastAsia="仿宋_GB2312" w:cs="仿宋_GB2312"/>
          <w:sz w:val="32"/>
          <w:szCs w:val="32"/>
          <w:highlight w:val="none"/>
          <w:u w:val="none"/>
          <w:lang w:val="en-US" w:eastAsia="zh-CN"/>
        </w:rPr>
        <w:t>165.14</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。决算数与年初预算数的差异原因：</w:t>
      </w:r>
      <w:r>
        <w:rPr>
          <w:rFonts w:hint="eastAsia" w:ascii="仿宋_GB2312" w:hAnsi="仿宋_GB2312" w:eastAsia="仿宋_GB2312" w:cs="仿宋_GB2312"/>
          <w:sz w:val="32"/>
          <w:szCs w:val="32"/>
          <w:highlight w:val="none"/>
          <w:u w:val="none"/>
          <w:lang w:eastAsia="zh-CN"/>
        </w:rPr>
        <w:t>由于新考录人员入职，需配置电脑及办公桌椅，因此调剂部分办公费到办公设备购置费进行购买。</w:t>
      </w:r>
    </w:p>
    <w:p w14:paraId="422218DC">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七、一般公共预算财政拨款项目支出决算情况说明</w:t>
      </w:r>
    </w:p>
    <w:p w14:paraId="4530F270">
      <w:pPr>
        <w:pStyle w:val="33"/>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年度一般公共预算财政拨款项目支出决算</w:t>
      </w:r>
      <w:r>
        <w:rPr>
          <w:rFonts w:hint="eastAsia" w:ascii="仿宋_GB2312" w:hAnsi="仿宋_GB2312" w:eastAsia="仿宋_GB2312" w:cs="仿宋_GB2312"/>
          <w:kern w:val="0"/>
          <w:sz w:val="32"/>
          <w:szCs w:val="32"/>
          <w:u w:val="none"/>
          <w:lang w:eastAsia="en-US"/>
        </w:rPr>
        <w:t xml:space="preserve"> 9.56</w:t>
      </w:r>
      <w:r>
        <w:rPr>
          <w:rFonts w:hint="eastAsia" w:ascii="仿宋_GB2312" w:hAnsi="仿宋_GB2312" w:eastAsia="仿宋_GB2312" w:cs="仿宋_GB2312"/>
          <w:kern w:val="0"/>
          <w:sz w:val="32"/>
          <w:szCs w:val="32"/>
          <w:u w:val="none"/>
        </w:rPr>
        <w:t>万元，其中：</w:t>
      </w:r>
    </w:p>
    <w:p w14:paraId="314CE0E5">
      <w:pPr>
        <w:pStyle w:val="33"/>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0"/>
          <w:sz w:val="32"/>
          <w:szCs w:val="32"/>
          <w:u w:val="none"/>
        </w:rPr>
      </w:pPr>
      <w:r>
        <w:rPr>
          <w:rFonts w:ascii="FangSong_GB2312" w:hAnsi="FangSong_GB2312" w:eastAsia="FangSong_GB2312" w:cs="FangSong_GB2312"/>
          <w:b/>
          <w:bCs/>
          <w:kern w:val="0"/>
          <w:sz w:val="32"/>
          <w:szCs w:val="32"/>
          <w:u w:val="none"/>
        </w:rPr>
        <w:t>（一）工资福利支出</w:t>
      </w:r>
      <w:r>
        <w:rPr>
          <w:rFonts w:eastAsia="Times New Roman"/>
          <w:kern w:val="0"/>
          <w:sz w:val="32"/>
          <w:szCs w:val="32"/>
          <w:u w:val="none"/>
          <w:lang w:eastAsia="en-US"/>
        </w:rPr>
        <w:t xml:space="preserve"> 0</w:t>
      </w:r>
      <w:r>
        <w:rPr>
          <w:rFonts w:ascii="FangSong_GB2312" w:hAnsi="FangSong_GB2312" w:eastAsia="FangSong_GB2312" w:cs="FangSong_GB2312"/>
          <w:b/>
          <w:bCs/>
          <w:kern w:val="0"/>
          <w:sz w:val="32"/>
          <w:szCs w:val="32"/>
          <w:u w:val="none"/>
        </w:rPr>
        <w:t>万元。</w:t>
      </w:r>
      <w:r>
        <w:rPr>
          <w:rFonts w:hint="eastAsia" w:ascii="仿宋_GB2312" w:hAnsi="仿宋_GB2312" w:eastAsia="仿宋_GB2312" w:cs="仿宋_GB2312"/>
          <w:kern w:val="0"/>
          <w:sz w:val="32"/>
          <w:szCs w:val="32"/>
          <w:u w:val="none"/>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14:paraId="30612B5D">
      <w:pPr>
        <w:pStyle w:val="33"/>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0"/>
          <w:sz w:val="32"/>
          <w:szCs w:val="32"/>
          <w:u w:val="none"/>
        </w:rPr>
      </w:pPr>
      <w:r>
        <w:rPr>
          <w:rFonts w:ascii="FangSong_GB2312" w:hAnsi="FangSong_GB2312" w:eastAsia="FangSong_GB2312" w:cs="FangSong_GB2312"/>
          <w:b/>
          <w:bCs/>
          <w:kern w:val="0"/>
          <w:sz w:val="32"/>
          <w:szCs w:val="32"/>
          <w:u w:val="none"/>
        </w:rPr>
        <w:t>（二）商品和服务支出</w:t>
      </w:r>
      <w:r>
        <w:rPr>
          <w:rFonts w:eastAsia="Times New Roman"/>
          <w:kern w:val="0"/>
          <w:sz w:val="32"/>
          <w:szCs w:val="32"/>
          <w:u w:val="none"/>
          <w:lang w:eastAsia="en-US"/>
        </w:rPr>
        <w:t xml:space="preserve"> 8.46</w:t>
      </w:r>
      <w:r>
        <w:rPr>
          <w:rFonts w:ascii="FangSong_GB2312" w:hAnsi="FangSong_GB2312" w:eastAsia="FangSong_GB2312" w:cs="FangSong_GB2312"/>
          <w:b/>
          <w:bCs/>
          <w:kern w:val="0"/>
          <w:sz w:val="32"/>
          <w:szCs w:val="32"/>
          <w:u w:val="none"/>
        </w:rPr>
        <w:t>万元。</w:t>
      </w:r>
      <w:r>
        <w:rPr>
          <w:rFonts w:hint="eastAsia" w:ascii="仿宋_GB2312" w:hAnsi="仿宋_GB2312" w:eastAsia="仿宋_GB2312" w:cs="仿宋_GB2312"/>
          <w:color w:val="000000"/>
          <w:kern w:val="2"/>
          <w:sz w:val="32"/>
          <w:u w:val="none"/>
        </w:rPr>
        <w:t>主要包括：</w:t>
      </w:r>
      <w:r>
        <w:rPr>
          <w:rFonts w:hint="eastAsia" w:ascii="仿宋_GB2312" w:hAnsi="仿宋_GB2312" w:eastAsia="仿宋_GB2312" w:cs="仿宋_GB2312"/>
          <w:kern w:val="0"/>
          <w:sz w:val="32"/>
          <w:szCs w:val="32"/>
          <w:u w:val="none"/>
        </w:rPr>
        <w:t>印刷费</w:t>
      </w:r>
      <w:r>
        <w:rPr>
          <w:rFonts w:hint="eastAsia" w:ascii="仿宋_GB2312" w:hAnsi="仿宋_GB2312" w:eastAsia="仿宋_GB2312" w:cs="仿宋_GB2312"/>
          <w:kern w:val="0"/>
          <w:sz w:val="32"/>
          <w:szCs w:val="32"/>
          <w:u w:val="none"/>
          <w:lang w:val="en-US" w:eastAsia="zh-CN"/>
        </w:rPr>
        <w:t>0.32万元</w:t>
      </w:r>
      <w:r>
        <w:rPr>
          <w:rFonts w:hint="eastAsia" w:ascii="仿宋_GB2312" w:hAnsi="仿宋_GB2312" w:eastAsia="仿宋_GB2312" w:cs="仿宋_GB2312"/>
          <w:kern w:val="0"/>
          <w:sz w:val="32"/>
          <w:szCs w:val="32"/>
          <w:u w:val="none"/>
        </w:rPr>
        <w:t>、差旅费</w:t>
      </w:r>
      <w:r>
        <w:rPr>
          <w:rFonts w:hint="eastAsia" w:ascii="仿宋_GB2312" w:hAnsi="仿宋_GB2312" w:eastAsia="仿宋_GB2312" w:cs="仿宋_GB2312"/>
          <w:kern w:val="0"/>
          <w:sz w:val="32"/>
          <w:szCs w:val="32"/>
          <w:u w:val="none"/>
          <w:lang w:val="en-US" w:eastAsia="zh-CN"/>
        </w:rPr>
        <w:t>2万元</w:t>
      </w:r>
      <w:r>
        <w:rPr>
          <w:rFonts w:hint="eastAsia" w:ascii="仿宋_GB2312" w:hAnsi="仿宋_GB2312" w:eastAsia="仿宋_GB2312" w:cs="仿宋_GB2312"/>
          <w:kern w:val="0"/>
          <w:sz w:val="32"/>
          <w:szCs w:val="32"/>
          <w:u w:val="none"/>
        </w:rPr>
        <w:t>、维修（护）费</w:t>
      </w:r>
      <w:r>
        <w:rPr>
          <w:rFonts w:hint="eastAsia" w:ascii="仿宋_GB2312" w:hAnsi="仿宋_GB2312" w:eastAsia="仿宋_GB2312" w:cs="仿宋_GB2312"/>
          <w:kern w:val="0"/>
          <w:sz w:val="32"/>
          <w:szCs w:val="32"/>
          <w:u w:val="none"/>
          <w:lang w:val="en-US" w:eastAsia="zh-CN"/>
        </w:rPr>
        <w:t>0.7万元</w:t>
      </w:r>
      <w:r>
        <w:rPr>
          <w:rFonts w:hint="eastAsia" w:ascii="仿宋_GB2312" w:hAnsi="仿宋_GB2312" w:eastAsia="仿宋_GB2312" w:cs="仿宋_GB2312"/>
          <w:kern w:val="0"/>
          <w:sz w:val="32"/>
          <w:szCs w:val="32"/>
          <w:u w:val="none"/>
        </w:rPr>
        <w:t>、培训费</w:t>
      </w:r>
      <w:r>
        <w:rPr>
          <w:rFonts w:hint="eastAsia" w:ascii="仿宋_GB2312" w:hAnsi="仿宋_GB2312" w:eastAsia="仿宋_GB2312" w:cs="仿宋_GB2312"/>
          <w:kern w:val="0"/>
          <w:sz w:val="32"/>
          <w:szCs w:val="32"/>
          <w:u w:val="none"/>
          <w:lang w:val="en-US" w:eastAsia="zh-CN"/>
        </w:rPr>
        <w:t>1.09万元</w:t>
      </w:r>
      <w:r>
        <w:rPr>
          <w:rFonts w:hint="eastAsia" w:ascii="仿宋_GB2312" w:hAnsi="仿宋_GB2312" w:eastAsia="仿宋_GB2312" w:cs="仿宋_GB2312"/>
          <w:kern w:val="0"/>
          <w:sz w:val="32"/>
          <w:szCs w:val="32"/>
          <w:u w:val="none"/>
        </w:rPr>
        <w:t>、公务接待费</w:t>
      </w:r>
      <w:r>
        <w:rPr>
          <w:rFonts w:hint="eastAsia" w:ascii="仿宋_GB2312" w:hAnsi="仿宋_GB2312" w:eastAsia="仿宋_GB2312" w:cs="仿宋_GB2312"/>
          <w:kern w:val="0"/>
          <w:sz w:val="32"/>
          <w:szCs w:val="32"/>
          <w:u w:val="none"/>
          <w:lang w:val="en-US" w:eastAsia="zh-CN"/>
        </w:rPr>
        <w:t>0万元</w:t>
      </w:r>
      <w:r>
        <w:rPr>
          <w:rFonts w:hint="eastAsia" w:ascii="仿宋_GB2312" w:hAnsi="仿宋_GB2312" w:eastAsia="仿宋_GB2312" w:cs="仿宋_GB2312"/>
          <w:kern w:val="0"/>
          <w:sz w:val="32"/>
          <w:szCs w:val="32"/>
          <w:u w:val="none"/>
        </w:rPr>
        <w:t>、劳务费</w:t>
      </w:r>
      <w:r>
        <w:rPr>
          <w:rFonts w:hint="eastAsia" w:ascii="仿宋_GB2312" w:hAnsi="仿宋_GB2312" w:eastAsia="仿宋_GB2312" w:cs="仿宋_GB2312"/>
          <w:kern w:val="0"/>
          <w:sz w:val="32"/>
          <w:szCs w:val="32"/>
          <w:u w:val="none"/>
          <w:lang w:val="en-US" w:eastAsia="zh-CN"/>
        </w:rPr>
        <w:t>3.97万元</w:t>
      </w:r>
      <w:r>
        <w:rPr>
          <w:rFonts w:hint="eastAsia" w:ascii="仿宋_GB2312" w:hAnsi="仿宋_GB2312" w:eastAsia="仿宋_GB2312" w:cs="仿宋_GB2312"/>
          <w:kern w:val="0"/>
          <w:sz w:val="32"/>
          <w:szCs w:val="32"/>
          <w:u w:val="none"/>
        </w:rPr>
        <w:t>、其他交通费用</w:t>
      </w:r>
      <w:r>
        <w:rPr>
          <w:rFonts w:hint="eastAsia" w:ascii="仿宋_GB2312" w:hAnsi="仿宋_GB2312" w:eastAsia="仿宋_GB2312" w:cs="仿宋_GB2312"/>
          <w:kern w:val="0"/>
          <w:sz w:val="32"/>
          <w:szCs w:val="32"/>
          <w:u w:val="none"/>
          <w:lang w:val="en-US" w:eastAsia="zh-CN"/>
        </w:rPr>
        <w:t>0.38万元</w:t>
      </w:r>
      <w:r>
        <w:rPr>
          <w:rFonts w:hint="eastAsia" w:ascii="仿宋_GB2312" w:hAnsi="仿宋_GB2312" w:eastAsia="仿宋_GB2312" w:cs="仿宋_GB2312"/>
          <w:kern w:val="0"/>
          <w:sz w:val="32"/>
          <w:szCs w:val="32"/>
          <w:u w:val="none"/>
        </w:rPr>
        <w:t>。</w:t>
      </w:r>
    </w:p>
    <w:p w14:paraId="754466B9">
      <w:pPr>
        <w:pStyle w:val="33"/>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0"/>
          <w:sz w:val="32"/>
          <w:szCs w:val="32"/>
          <w:u w:val="none"/>
        </w:rPr>
      </w:pPr>
      <w:r>
        <w:rPr>
          <w:rFonts w:ascii="FangSong_GB2312" w:hAnsi="FangSong_GB2312" w:eastAsia="FangSong_GB2312" w:cs="FangSong_GB2312"/>
          <w:b/>
          <w:bCs/>
          <w:kern w:val="0"/>
          <w:sz w:val="32"/>
          <w:szCs w:val="32"/>
          <w:u w:val="none"/>
        </w:rPr>
        <w:t>（三）资本性支出</w:t>
      </w:r>
      <w:r>
        <w:rPr>
          <w:rFonts w:eastAsia="Times New Roman"/>
          <w:kern w:val="0"/>
          <w:sz w:val="32"/>
          <w:szCs w:val="32"/>
          <w:u w:val="none"/>
          <w:lang w:eastAsia="en-US"/>
        </w:rPr>
        <w:t xml:space="preserve"> 1.10</w:t>
      </w:r>
      <w:r>
        <w:rPr>
          <w:rFonts w:ascii="FangSong_GB2312" w:hAnsi="FangSong_GB2312" w:eastAsia="FangSong_GB2312" w:cs="FangSong_GB2312"/>
          <w:b/>
          <w:bCs/>
          <w:kern w:val="0"/>
          <w:sz w:val="32"/>
          <w:szCs w:val="32"/>
          <w:u w:val="none"/>
        </w:rPr>
        <w:t>万元。</w:t>
      </w:r>
      <w:r>
        <w:rPr>
          <w:rFonts w:hint="eastAsia" w:ascii="仿宋_GB2312" w:hAnsi="仿宋_GB2312" w:eastAsia="仿宋_GB2312" w:cs="仿宋_GB2312"/>
          <w:kern w:val="0"/>
          <w:sz w:val="32"/>
          <w:szCs w:val="32"/>
          <w:u w:val="none"/>
        </w:rPr>
        <w:t>主要包括：办公设备购置</w:t>
      </w:r>
      <w:r>
        <w:rPr>
          <w:rFonts w:hint="eastAsia" w:ascii="仿宋_GB2312" w:hAnsi="仿宋_GB2312" w:eastAsia="仿宋_GB2312" w:cs="仿宋_GB2312"/>
          <w:kern w:val="0"/>
          <w:sz w:val="32"/>
          <w:szCs w:val="32"/>
          <w:u w:val="none"/>
          <w:lang w:val="en-US" w:eastAsia="zh-CN"/>
        </w:rPr>
        <w:t>1.1万元</w:t>
      </w:r>
      <w:r>
        <w:rPr>
          <w:rFonts w:hint="eastAsia" w:ascii="仿宋_GB2312" w:hAnsi="仿宋_GB2312" w:eastAsia="仿宋_GB2312" w:cs="仿宋_GB2312"/>
          <w:kern w:val="0"/>
          <w:sz w:val="32"/>
          <w:szCs w:val="32"/>
          <w:u w:val="none"/>
        </w:rPr>
        <w:t>。</w:t>
      </w:r>
    </w:p>
    <w:p w14:paraId="7EB202AE">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八、财政拨款</w:t>
      </w:r>
      <w:r>
        <w:rPr>
          <w:rFonts w:ascii="Times New Roman" w:hAnsi="Times New Roman" w:eastAsia="Times New Roman" w:cs="Times New Roman"/>
          <w:b/>
          <w:bCs/>
          <w:kern w:val="0"/>
          <w:sz w:val="32"/>
          <w:szCs w:val="32"/>
          <w:u w:val="none"/>
          <w:lang w:eastAsia="en-US"/>
        </w:rPr>
        <w:t>“</w:t>
      </w:r>
      <w:r>
        <w:rPr>
          <w:rFonts w:ascii="黑体" w:hAnsi="黑体" w:eastAsia="黑体" w:cs="黑体"/>
          <w:b/>
          <w:bCs/>
          <w:kern w:val="0"/>
          <w:sz w:val="32"/>
          <w:szCs w:val="32"/>
          <w:u w:val="none"/>
        </w:rPr>
        <w:t>三公</w:t>
      </w:r>
      <w:r>
        <w:rPr>
          <w:rFonts w:ascii="Times New Roman" w:hAnsi="Times New Roman" w:eastAsia="Times New Roman" w:cs="Times New Roman"/>
          <w:b/>
          <w:bCs/>
          <w:kern w:val="0"/>
          <w:sz w:val="32"/>
          <w:szCs w:val="32"/>
          <w:u w:val="none"/>
          <w:lang w:eastAsia="en-US"/>
        </w:rPr>
        <w:t>”</w:t>
      </w:r>
      <w:r>
        <w:rPr>
          <w:rFonts w:ascii="黑体" w:hAnsi="黑体" w:eastAsia="黑体" w:cs="黑体"/>
          <w:b/>
          <w:bCs/>
          <w:kern w:val="0"/>
          <w:sz w:val="32"/>
          <w:szCs w:val="32"/>
          <w:u w:val="none"/>
        </w:rPr>
        <w:t>经费支出决算情况说明</w:t>
      </w:r>
    </w:p>
    <w:p w14:paraId="72D87785">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楷体" w:hAnsi="楷体" w:eastAsia="楷体" w:cs="楷体"/>
          <w:b/>
          <w:bCs/>
          <w:kern w:val="0"/>
          <w:sz w:val="32"/>
          <w:szCs w:val="32"/>
          <w:u w:val="none"/>
        </w:rPr>
        <w:t>（一）财政拨款</w:t>
      </w:r>
      <w:r>
        <w:rPr>
          <w:rFonts w:ascii="Times New Roman" w:hAnsi="Times New Roman" w:eastAsia="Times New Roman" w:cs="Times New Roman"/>
          <w:b/>
          <w:bCs/>
          <w:kern w:val="0"/>
          <w:sz w:val="32"/>
          <w:szCs w:val="32"/>
          <w:u w:val="none"/>
          <w:lang w:eastAsia="en-US"/>
        </w:rPr>
        <w:t>“</w:t>
      </w:r>
      <w:r>
        <w:rPr>
          <w:rFonts w:ascii="楷体" w:hAnsi="楷体" w:eastAsia="楷体" w:cs="楷体"/>
          <w:b/>
          <w:bCs/>
          <w:kern w:val="0"/>
          <w:sz w:val="32"/>
          <w:szCs w:val="32"/>
          <w:u w:val="none"/>
        </w:rPr>
        <w:t>三公</w:t>
      </w:r>
      <w:r>
        <w:rPr>
          <w:rFonts w:ascii="Times New Roman" w:hAnsi="Times New Roman" w:eastAsia="Times New Roman" w:cs="Times New Roman"/>
          <w:b/>
          <w:bCs/>
          <w:kern w:val="0"/>
          <w:sz w:val="32"/>
          <w:szCs w:val="32"/>
          <w:u w:val="none"/>
          <w:lang w:eastAsia="en-US"/>
        </w:rPr>
        <w:t>”</w:t>
      </w:r>
      <w:r>
        <w:rPr>
          <w:rFonts w:ascii="楷体" w:hAnsi="楷体" w:eastAsia="楷体" w:cs="楷体"/>
          <w:b/>
          <w:bCs/>
          <w:kern w:val="0"/>
          <w:sz w:val="32"/>
          <w:szCs w:val="32"/>
          <w:u w:val="none"/>
        </w:rPr>
        <w:t>经费支出总体情况说明。</w:t>
      </w:r>
    </w:p>
    <w:p w14:paraId="22893A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年度财政拨款“三公”经费全年预算</w:t>
      </w:r>
      <w:r>
        <w:rPr>
          <w:rFonts w:hint="eastAsia" w:ascii="仿宋_GB2312" w:hAnsi="仿宋_GB2312" w:eastAsia="仿宋_GB2312" w:cs="仿宋_GB2312"/>
          <w:kern w:val="0"/>
          <w:sz w:val="32"/>
          <w:szCs w:val="32"/>
          <w:u w:val="none"/>
          <w:lang w:eastAsia="en-US"/>
        </w:rPr>
        <w:t>1.60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eastAsia="en-US"/>
        </w:rPr>
        <w:t xml:space="preserve"> 1.30</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eastAsia="en-US"/>
        </w:rPr>
        <w:t xml:space="preserve"> 81.</w:t>
      </w:r>
      <w:r>
        <w:rPr>
          <w:rFonts w:hint="eastAsia" w:ascii="仿宋_GB2312" w:hAnsi="仿宋_GB2312" w:eastAsia="仿宋_GB2312" w:cs="仿宋_GB2312"/>
          <w:kern w:val="0"/>
          <w:sz w:val="32"/>
          <w:szCs w:val="32"/>
          <w:u w:val="none"/>
          <w:lang w:val="en-US" w:eastAsia="zh-CN"/>
        </w:rPr>
        <w:t>25</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。其中：因公出国（境）费全年预算</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；公务用车购置及运行维护费全年预算</w:t>
      </w:r>
      <w:r>
        <w:rPr>
          <w:rFonts w:hint="eastAsia" w:ascii="仿宋_GB2312" w:hAnsi="仿宋_GB2312" w:eastAsia="仿宋_GB2312" w:cs="仿宋_GB2312"/>
          <w:kern w:val="0"/>
          <w:sz w:val="32"/>
          <w:szCs w:val="32"/>
          <w:u w:val="none"/>
          <w:lang w:eastAsia="en-US"/>
        </w:rPr>
        <w:t xml:space="preserve"> 1.50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eastAsia="en-US"/>
        </w:rPr>
        <w:t xml:space="preserve"> 1.30</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eastAsia="en-US"/>
        </w:rPr>
        <w:t>86.</w:t>
      </w:r>
      <w:r>
        <w:rPr>
          <w:rFonts w:hint="eastAsia" w:ascii="仿宋_GB2312" w:hAnsi="仿宋_GB2312" w:eastAsia="仿宋_GB2312" w:cs="仿宋_GB2312"/>
          <w:kern w:val="0"/>
          <w:sz w:val="32"/>
          <w:szCs w:val="32"/>
          <w:u w:val="none"/>
          <w:lang w:val="en-US" w:eastAsia="zh-CN"/>
        </w:rPr>
        <w:t>67</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；公务接待费全年预算</w:t>
      </w:r>
      <w:r>
        <w:rPr>
          <w:rFonts w:hint="eastAsia" w:ascii="仿宋_GB2312" w:hAnsi="仿宋_GB2312" w:eastAsia="仿宋_GB2312" w:cs="仿宋_GB2312"/>
          <w:kern w:val="0"/>
          <w:sz w:val="32"/>
          <w:szCs w:val="32"/>
          <w:u w:val="none"/>
          <w:lang w:eastAsia="en-US"/>
        </w:rPr>
        <w:t xml:space="preserve"> 0.10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年度一般公共预算财政拨款“三公”经费全年预算</w:t>
      </w:r>
      <w:r>
        <w:rPr>
          <w:rFonts w:hint="eastAsia" w:ascii="仿宋_GB2312" w:hAnsi="仿宋_GB2312" w:eastAsia="仿宋_GB2312" w:cs="仿宋_GB2312"/>
          <w:kern w:val="0"/>
          <w:sz w:val="32"/>
          <w:szCs w:val="32"/>
          <w:u w:val="none"/>
          <w:lang w:eastAsia="en-US"/>
        </w:rPr>
        <w:t xml:space="preserve"> 1.60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eastAsia="en-US"/>
        </w:rPr>
        <w:t>1.30</w:t>
      </w:r>
      <w:r>
        <w:rPr>
          <w:rFonts w:hint="eastAsia" w:ascii="仿宋_GB2312" w:hAnsi="仿宋_GB2312" w:eastAsia="仿宋_GB2312" w:cs="仿宋_GB2312"/>
          <w:kern w:val="0"/>
          <w:sz w:val="32"/>
          <w:szCs w:val="32"/>
          <w:u w:val="none"/>
        </w:rPr>
        <w:t>万元，与预算差异原因</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color w:val="auto"/>
          <w:sz w:val="32"/>
          <w:szCs w:val="32"/>
          <w:u w:val="none"/>
          <w:lang w:val="en-US" w:eastAsia="zh-CN"/>
        </w:rPr>
        <w:t>定点维修单位因承接任务饱和、配件供应延迟，未能在年内完成车辆检修项目，相应费用暂缓支付。2、</w:t>
      </w:r>
      <w:r>
        <w:rPr>
          <w:rFonts w:hint="eastAsia" w:ascii="仿宋_GB2312" w:hAnsi="仿宋_GB2312" w:eastAsia="仿宋_GB2312" w:cs="仿宋_GB2312"/>
          <w:kern w:val="0"/>
          <w:sz w:val="32"/>
          <w:szCs w:val="32"/>
          <w:u w:val="none"/>
          <w:lang w:eastAsia="en-US"/>
        </w:rPr>
        <w:t>本年单位无公务接待，因此结余大。</w:t>
      </w:r>
    </w:p>
    <w:p w14:paraId="74185366">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楷体" w:hAnsi="楷体" w:eastAsia="楷体" w:cs="楷体"/>
          <w:b/>
          <w:bCs/>
          <w:kern w:val="0"/>
          <w:sz w:val="32"/>
          <w:szCs w:val="32"/>
          <w:u w:val="none"/>
        </w:rPr>
        <w:t>（二）财政拨款</w:t>
      </w:r>
      <w:r>
        <w:rPr>
          <w:rFonts w:ascii="Times New Roman" w:hAnsi="Times New Roman" w:eastAsia="Times New Roman" w:cs="Times New Roman"/>
          <w:b/>
          <w:bCs/>
          <w:kern w:val="0"/>
          <w:sz w:val="32"/>
          <w:szCs w:val="32"/>
          <w:u w:val="none"/>
          <w:lang w:eastAsia="en-US"/>
        </w:rPr>
        <w:t>“</w:t>
      </w:r>
      <w:r>
        <w:rPr>
          <w:rFonts w:ascii="楷体" w:hAnsi="楷体" w:eastAsia="楷体" w:cs="楷体"/>
          <w:b/>
          <w:bCs/>
          <w:kern w:val="0"/>
          <w:sz w:val="32"/>
          <w:szCs w:val="32"/>
          <w:u w:val="none"/>
        </w:rPr>
        <w:t>三公</w:t>
      </w:r>
      <w:r>
        <w:rPr>
          <w:rFonts w:ascii="Times New Roman" w:hAnsi="Times New Roman" w:eastAsia="Times New Roman" w:cs="Times New Roman"/>
          <w:b/>
          <w:bCs/>
          <w:kern w:val="0"/>
          <w:sz w:val="32"/>
          <w:szCs w:val="32"/>
          <w:u w:val="none"/>
          <w:lang w:eastAsia="en-US"/>
        </w:rPr>
        <w:t>”</w:t>
      </w:r>
      <w:r>
        <w:rPr>
          <w:rFonts w:ascii="楷体" w:hAnsi="楷体" w:eastAsia="楷体" w:cs="楷体"/>
          <w:b/>
          <w:bCs/>
          <w:kern w:val="0"/>
          <w:sz w:val="32"/>
          <w:szCs w:val="32"/>
          <w:u w:val="none"/>
        </w:rPr>
        <w:t>经费支出具体情况说明。</w:t>
      </w:r>
    </w:p>
    <w:p w14:paraId="490F63DC">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年度财政拨款“三公”经费支出</w:t>
      </w:r>
      <w:r>
        <w:rPr>
          <w:rFonts w:hint="eastAsia" w:ascii="仿宋_GB2312" w:hAnsi="仿宋_GB2312" w:eastAsia="仿宋_GB2312" w:cs="仿宋_GB2312"/>
          <w:kern w:val="0"/>
          <w:sz w:val="32"/>
          <w:szCs w:val="32"/>
          <w:u w:val="none"/>
          <w:lang w:eastAsia="en-US"/>
        </w:rPr>
        <w:t xml:space="preserve"> 1.30</w:t>
      </w:r>
      <w:r>
        <w:rPr>
          <w:rFonts w:hint="eastAsia" w:ascii="仿宋_GB2312" w:hAnsi="仿宋_GB2312" w:eastAsia="仿宋_GB2312" w:cs="仿宋_GB2312"/>
          <w:kern w:val="0"/>
          <w:sz w:val="32"/>
          <w:szCs w:val="32"/>
          <w:u w:val="none"/>
        </w:rPr>
        <w:t>万元。因公出国（境）费支出</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；公务用车购置及运行维护费支出</w:t>
      </w:r>
      <w:r>
        <w:rPr>
          <w:rFonts w:hint="eastAsia" w:ascii="仿宋_GB2312" w:hAnsi="仿宋_GB2312" w:eastAsia="仿宋_GB2312" w:cs="仿宋_GB2312"/>
          <w:kern w:val="0"/>
          <w:sz w:val="32"/>
          <w:szCs w:val="32"/>
          <w:u w:val="none"/>
          <w:lang w:eastAsia="en-US"/>
        </w:rPr>
        <w:t xml:space="preserve"> 1.30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100.00%</w:t>
      </w:r>
      <w:r>
        <w:rPr>
          <w:rFonts w:hint="eastAsia" w:ascii="仿宋_GB2312" w:hAnsi="仿宋_GB2312" w:eastAsia="仿宋_GB2312" w:cs="仿宋_GB2312"/>
          <w:kern w:val="0"/>
          <w:sz w:val="32"/>
          <w:szCs w:val="32"/>
          <w:u w:val="none"/>
        </w:rPr>
        <w:t>；公务接待费支出</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。其中：</w:t>
      </w:r>
    </w:p>
    <w:p w14:paraId="6B2812A7">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Times New Roman" w:cs="Times New Roman"/>
          <w:kern w:val="0"/>
          <w:sz w:val="24"/>
          <w:u w:val="none"/>
        </w:rPr>
      </w:pPr>
      <w:r>
        <w:rPr>
          <w:rFonts w:eastAsia="Times New Roman"/>
          <w:b/>
          <w:bCs/>
          <w:kern w:val="0"/>
          <w:sz w:val="32"/>
          <w:szCs w:val="32"/>
          <w:u w:val="none"/>
          <w:lang w:eastAsia="en-US"/>
        </w:rPr>
        <w:t>1</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因公出国（境）费支出</w:t>
      </w:r>
      <w:r>
        <w:rPr>
          <w:rFonts w:eastAsia="Times New Roman"/>
          <w:kern w:val="0"/>
          <w:sz w:val="32"/>
          <w:szCs w:val="32"/>
          <w:u w:val="none"/>
          <w:lang w:eastAsia="en-US"/>
        </w:rPr>
        <w:t xml:space="preserve"> 0</w:t>
      </w:r>
      <w:r>
        <w:rPr>
          <w:rFonts w:hint="eastAsia" w:ascii="仿宋_GB2312" w:hAnsi="仿宋_GB2312" w:eastAsia="仿宋_GB2312" w:cs="仿宋_GB2312"/>
          <w:kern w:val="0"/>
          <w:sz w:val="32"/>
          <w:szCs w:val="32"/>
          <w:u w:val="none"/>
        </w:rPr>
        <w:t>万元，全年出国（境）团组</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个，累计</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人次。与上年决算相比，增加</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color w:val="auto"/>
          <w:kern w:val="2"/>
          <w:sz w:val="32"/>
          <w:highlight w:val="none"/>
          <w:u w:val="none"/>
          <w:lang w:eastAsia="zh-CN"/>
        </w:rPr>
        <w:t>我单位本年无</w:t>
      </w:r>
      <w:r>
        <w:rPr>
          <w:rFonts w:hint="eastAsia" w:ascii="仿宋_GB2312" w:hAnsi="仿宋_GB2312" w:eastAsia="仿宋_GB2312" w:cs="仿宋_GB2312"/>
          <w:color w:val="auto"/>
          <w:kern w:val="2"/>
          <w:sz w:val="32"/>
          <w:highlight w:val="none"/>
          <w:u w:val="none"/>
        </w:rPr>
        <w:t>国（境）外公务接待支出</w:t>
      </w:r>
      <w:r>
        <w:rPr>
          <w:rFonts w:hint="eastAsia" w:ascii="仿宋_GB2312" w:hAnsi="仿宋_GB2312" w:eastAsia="仿宋_GB2312" w:cs="仿宋_GB2312"/>
          <w:kern w:val="0"/>
          <w:sz w:val="32"/>
          <w:szCs w:val="32"/>
          <w:u w:val="none"/>
        </w:rPr>
        <w:t>。</w:t>
      </w:r>
    </w:p>
    <w:p w14:paraId="452F093E">
      <w:pPr>
        <w:pStyle w:val="33"/>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ascii="Times New Roman" w:hAnsi="Times New Roman" w:eastAsia="Times New Roman" w:cs="Times New Roman"/>
          <w:kern w:val="0"/>
          <w:sz w:val="24"/>
          <w:u w:val="none"/>
        </w:rPr>
      </w:pPr>
      <w:r>
        <w:rPr>
          <w:rFonts w:eastAsia="Times New Roman"/>
          <w:b/>
          <w:bCs/>
          <w:kern w:val="0"/>
          <w:sz w:val="32"/>
          <w:szCs w:val="32"/>
          <w:u w:val="none"/>
          <w:lang w:eastAsia="en-US"/>
        </w:rPr>
        <w:t>2</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公务用车购置及运行维护费支出</w:t>
      </w:r>
      <w:r>
        <w:rPr>
          <w:rFonts w:hint="eastAsia" w:ascii="仿宋_GB2312" w:hAnsi="仿宋_GB2312" w:eastAsia="仿宋_GB2312" w:cs="仿宋_GB2312"/>
          <w:kern w:val="0"/>
          <w:sz w:val="32"/>
          <w:szCs w:val="32"/>
          <w:u w:val="none"/>
          <w:lang w:eastAsia="en-US"/>
        </w:rPr>
        <w:t xml:space="preserve"> 1.30</w:t>
      </w:r>
      <w:r>
        <w:rPr>
          <w:rFonts w:hint="eastAsia" w:ascii="仿宋_GB2312" w:hAnsi="仿宋_GB2312" w:eastAsia="仿宋_GB2312" w:cs="仿宋_GB2312"/>
          <w:kern w:val="0"/>
          <w:sz w:val="32"/>
          <w:szCs w:val="32"/>
          <w:u w:val="none"/>
        </w:rPr>
        <w:t>万元。其中</w:t>
      </w:r>
      <w:r>
        <w:rPr>
          <w:rFonts w:ascii="FangSong_GB2312" w:hAnsi="FangSong_GB2312" w:eastAsia="FangSong_GB2312" w:cs="FangSong_GB2312"/>
          <w:kern w:val="0"/>
          <w:sz w:val="32"/>
          <w:szCs w:val="32"/>
          <w:u w:val="none"/>
        </w:rPr>
        <w:t>：</w:t>
      </w:r>
    </w:p>
    <w:p w14:paraId="2B537D4F">
      <w:pPr>
        <w:pStyle w:val="33"/>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0"/>
          <w:sz w:val="32"/>
          <w:szCs w:val="32"/>
          <w:u w:val="none"/>
        </w:rPr>
      </w:pPr>
      <w:r>
        <w:rPr>
          <w:rFonts w:ascii="FangSong_GB2312" w:hAnsi="FangSong_GB2312" w:eastAsia="FangSong_GB2312" w:cs="FangSong_GB2312"/>
          <w:b/>
          <w:bCs/>
          <w:kern w:val="0"/>
          <w:sz w:val="32"/>
          <w:szCs w:val="32"/>
          <w:u w:val="none"/>
        </w:rPr>
        <w:t>（</w:t>
      </w:r>
      <w:r>
        <w:rPr>
          <w:rFonts w:eastAsia="Times New Roman"/>
          <w:b/>
          <w:bCs/>
          <w:kern w:val="0"/>
          <w:sz w:val="32"/>
          <w:szCs w:val="32"/>
          <w:u w:val="none"/>
          <w:lang w:eastAsia="en-US"/>
        </w:rPr>
        <w:t>1</w:t>
      </w:r>
      <w:r>
        <w:rPr>
          <w:rFonts w:ascii="FangSong_GB2312" w:hAnsi="FangSong_GB2312" w:eastAsia="FangSong_GB2312" w:cs="FangSong_GB2312"/>
          <w:b/>
          <w:bCs/>
          <w:kern w:val="0"/>
          <w:sz w:val="32"/>
          <w:szCs w:val="32"/>
          <w:u w:val="none"/>
        </w:rPr>
        <w:t>）公务用车购置支出</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万元。本年度使用财政拨款购置公务用车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辆，开支内容：</w:t>
      </w:r>
      <w:r>
        <w:rPr>
          <w:rFonts w:hint="eastAsia" w:ascii="仿宋_GB2312" w:hAnsi="仿宋_GB2312" w:eastAsia="仿宋_GB2312" w:cs="仿宋_GB2312"/>
          <w:color w:val="auto"/>
          <w:kern w:val="2"/>
          <w:sz w:val="32"/>
          <w:szCs w:val="32"/>
          <w:highlight w:val="none"/>
          <w:u w:val="none"/>
          <w:lang w:eastAsia="zh-CN"/>
        </w:rPr>
        <w:t>我单位本年无</w:t>
      </w:r>
      <w:r>
        <w:rPr>
          <w:rFonts w:hint="eastAsia" w:ascii="仿宋_GB2312" w:hAnsi="仿宋_GB2312" w:eastAsia="仿宋_GB2312" w:cs="仿宋_GB2312"/>
          <w:color w:val="auto"/>
          <w:kern w:val="2"/>
          <w:sz w:val="32"/>
          <w:szCs w:val="32"/>
          <w:highlight w:val="none"/>
          <w:u w:val="none"/>
        </w:rPr>
        <w:t>公务用车购置支出</w:t>
      </w:r>
      <w:r>
        <w:rPr>
          <w:rFonts w:hint="eastAsia" w:ascii="仿宋_GB2312" w:hAnsi="仿宋_GB2312" w:eastAsia="仿宋_GB2312" w:cs="仿宋_GB2312"/>
          <w:kern w:val="0"/>
          <w:sz w:val="32"/>
          <w:szCs w:val="32"/>
          <w:u w:val="none"/>
        </w:rPr>
        <w:t>。与上年决算相比，增加 0万元，增长</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color w:val="auto"/>
          <w:kern w:val="2"/>
          <w:sz w:val="32"/>
          <w:szCs w:val="32"/>
          <w:highlight w:val="none"/>
          <w:u w:val="none"/>
          <w:lang w:eastAsia="zh-CN"/>
        </w:rPr>
        <w:t>我单位本年无</w:t>
      </w:r>
      <w:r>
        <w:rPr>
          <w:rFonts w:hint="eastAsia" w:ascii="仿宋_GB2312" w:hAnsi="仿宋_GB2312" w:eastAsia="仿宋_GB2312" w:cs="仿宋_GB2312"/>
          <w:color w:val="auto"/>
          <w:kern w:val="2"/>
          <w:sz w:val="32"/>
          <w:szCs w:val="32"/>
          <w:highlight w:val="none"/>
          <w:u w:val="none"/>
        </w:rPr>
        <w:t>公务用车购置支出</w:t>
      </w:r>
      <w:r>
        <w:rPr>
          <w:rFonts w:hint="eastAsia" w:ascii="仿宋_GB2312" w:hAnsi="仿宋_GB2312" w:eastAsia="仿宋_GB2312" w:cs="仿宋_GB2312"/>
          <w:kern w:val="0"/>
          <w:sz w:val="32"/>
          <w:szCs w:val="32"/>
          <w:u w:val="none"/>
        </w:rPr>
        <w:t>。</w:t>
      </w:r>
    </w:p>
    <w:p w14:paraId="4C1E21F6">
      <w:pPr>
        <w:pStyle w:val="33"/>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0"/>
          <w:sz w:val="32"/>
          <w:szCs w:val="32"/>
          <w:u w:val="none"/>
        </w:rPr>
      </w:pPr>
      <w:r>
        <w:rPr>
          <w:rFonts w:ascii="FangSong_GB2312" w:hAnsi="FangSong_GB2312" w:eastAsia="FangSong_GB2312" w:cs="FangSong_GB2312"/>
          <w:b/>
          <w:bCs/>
          <w:kern w:val="0"/>
          <w:sz w:val="32"/>
          <w:szCs w:val="32"/>
          <w:u w:val="none"/>
        </w:rPr>
        <w:t>（</w:t>
      </w:r>
      <w:r>
        <w:rPr>
          <w:rFonts w:eastAsia="Times New Roman"/>
          <w:b/>
          <w:bCs/>
          <w:kern w:val="0"/>
          <w:sz w:val="32"/>
          <w:szCs w:val="32"/>
          <w:u w:val="none"/>
          <w:lang w:eastAsia="en-US"/>
        </w:rPr>
        <w:t>2</w:t>
      </w:r>
      <w:r>
        <w:rPr>
          <w:rFonts w:ascii="FangSong_GB2312" w:hAnsi="FangSong_GB2312" w:eastAsia="FangSong_GB2312" w:cs="FangSong_GB2312"/>
          <w:b/>
          <w:bCs/>
          <w:kern w:val="0"/>
          <w:sz w:val="32"/>
          <w:szCs w:val="32"/>
          <w:u w:val="none"/>
        </w:rPr>
        <w:t>）公务用车运行维护费支出</w:t>
      </w:r>
      <w:r>
        <w:rPr>
          <w:rFonts w:eastAsia="Times New Roman"/>
          <w:kern w:val="0"/>
          <w:sz w:val="32"/>
          <w:szCs w:val="32"/>
          <w:u w:val="none"/>
          <w:lang w:eastAsia="en-US"/>
        </w:rPr>
        <w:t xml:space="preserve"> </w:t>
      </w:r>
      <w:r>
        <w:rPr>
          <w:rFonts w:hint="eastAsia" w:ascii="仿宋_GB2312" w:hAnsi="仿宋_GB2312" w:eastAsia="仿宋_GB2312" w:cs="仿宋_GB2312"/>
          <w:kern w:val="0"/>
          <w:sz w:val="32"/>
          <w:szCs w:val="32"/>
          <w:u w:val="none"/>
          <w:lang w:eastAsia="en-US"/>
        </w:rPr>
        <w:t>1.30</w:t>
      </w:r>
      <w:r>
        <w:rPr>
          <w:rFonts w:hint="eastAsia" w:ascii="仿宋_GB2312" w:hAnsi="仿宋_GB2312" w:eastAsia="仿宋_GB2312" w:cs="仿宋_GB2312"/>
          <w:kern w:val="0"/>
          <w:sz w:val="32"/>
          <w:szCs w:val="32"/>
          <w:u w:val="none"/>
        </w:rPr>
        <w:t>万元。公务用车运行维护费主要用于按规定保留的公务用车的燃料费、</w:t>
      </w:r>
      <w:r>
        <w:rPr>
          <w:rFonts w:hint="eastAsia" w:ascii="仿宋_GB2312" w:hAnsi="仿宋_GB2312" w:eastAsia="仿宋_GB2312" w:cs="仿宋_GB2312"/>
          <w:color w:val="000000"/>
          <w:kern w:val="0"/>
          <w:sz w:val="32"/>
          <w:szCs w:val="32"/>
          <w:u w:val="none"/>
        </w:rPr>
        <w:t>新能源汽车充电费、</w:t>
      </w:r>
      <w:r>
        <w:rPr>
          <w:rFonts w:hint="eastAsia" w:ascii="仿宋_GB2312" w:hAnsi="仿宋_GB2312" w:eastAsia="仿宋_GB2312" w:cs="仿宋_GB2312"/>
          <w:kern w:val="0"/>
          <w:sz w:val="32"/>
          <w:szCs w:val="32"/>
          <w:u w:val="none"/>
        </w:rPr>
        <w:t>维修费、过桥过路费、保险费、安全奖励费用等支出。截至</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w:t>
      </w:r>
      <w:r>
        <w:rPr>
          <w:rFonts w:hint="eastAsia" w:ascii="仿宋_GB2312" w:hAnsi="仿宋_GB2312" w:eastAsia="仿宋_GB2312" w:cs="仿宋_GB2312"/>
          <w:kern w:val="0"/>
          <w:sz w:val="32"/>
          <w:szCs w:val="32"/>
          <w:u w:val="none"/>
          <w:lang w:eastAsia="en-US"/>
        </w:rPr>
        <w:t>12</w:t>
      </w:r>
      <w:r>
        <w:rPr>
          <w:rFonts w:hint="eastAsia" w:ascii="仿宋_GB2312" w:hAnsi="仿宋_GB2312" w:eastAsia="仿宋_GB2312" w:cs="仿宋_GB2312"/>
          <w:kern w:val="0"/>
          <w:sz w:val="32"/>
          <w:szCs w:val="32"/>
          <w:u w:val="none"/>
        </w:rPr>
        <w:t>月</w:t>
      </w:r>
      <w:r>
        <w:rPr>
          <w:rFonts w:hint="eastAsia" w:ascii="仿宋_GB2312" w:hAnsi="仿宋_GB2312" w:eastAsia="仿宋_GB2312" w:cs="仿宋_GB2312"/>
          <w:kern w:val="0"/>
          <w:sz w:val="32"/>
          <w:szCs w:val="32"/>
          <w:u w:val="none"/>
          <w:lang w:eastAsia="en-US"/>
        </w:rPr>
        <w:t>31</w:t>
      </w:r>
      <w:r>
        <w:rPr>
          <w:rFonts w:hint="eastAsia" w:ascii="仿宋_GB2312" w:hAnsi="仿宋_GB2312" w:eastAsia="仿宋_GB2312" w:cs="仿宋_GB2312"/>
          <w:kern w:val="0"/>
          <w:sz w:val="32"/>
          <w:szCs w:val="32"/>
          <w:u w:val="none"/>
        </w:rPr>
        <w:t>日，使用财政拨款开支的公务用车保有量为</w:t>
      </w:r>
      <w:r>
        <w:rPr>
          <w:rFonts w:hint="eastAsia" w:ascii="仿宋_GB2312" w:hAnsi="仿宋_GB2312" w:eastAsia="仿宋_GB2312" w:cs="仿宋_GB2312"/>
          <w:kern w:val="0"/>
          <w:sz w:val="32"/>
          <w:szCs w:val="32"/>
          <w:u w:val="none"/>
          <w:lang w:eastAsia="en-US"/>
        </w:rPr>
        <w:t xml:space="preserve">1 </w:t>
      </w:r>
      <w:r>
        <w:rPr>
          <w:rFonts w:hint="eastAsia" w:ascii="仿宋_GB2312" w:hAnsi="仿宋_GB2312" w:eastAsia="仿宋_GB2312" w:cs="仿宋_GB2312"/>
          <w:kern w:val="0"/>
          <w:sz w:val="32"/>
          <w:szCs w:val="32"/>
          <w:u w:val="none"/>
        </w:rPr>
        <w:t>辆。与上年决算相比，减少</w:t>
      </w:r>
      <w:r>
        <w:rPr>
          <w:rFonts w:hint="eastAsia" w:ascii="仿宋_GB2312" w:hAnsi="仿宋_GB2312" w:eastAsia="仿宋_GB2312" w:cs="仿宋_GB2312"/>
          <w:kern w:val="0"/>
          <w:sz w:val="32"/>
          <w:szCs w:val="32"/>
          <w:u w:val="none"/>
          <w:lang w:eastAsia="en-US"/>
        </w:rPr>
        <w:t>0.08</w:t>
      </w:r>
      <w:r>
        <w:rPr>
          <w:rFonts w:hint="eastAsia" w:ascii="仿宋_GB2312" w:hAnsi="仿宋_GB2312" w:eastAsia="仿宋_GB2312" w:cs="仿宋_GB2312"/>
          <w:kern w:val="0"/>
          <w:sz w:val="32"/>
          <w:szCs w:val="32"/>
          <w:u w:val="none"/>
        </w:rPr>
        <w:t>万元，下降</w:t>
      </w:r>
      <w:r>
        <w:rPr>
          <w:rFonts w:hint="eastAsia" w:ascii="仿宋_GB2312" w:hAnsi="仿宋_GB2312" w:eastAsia="仿宋_GB2312" w:cs="仿宋_GB2312"/>
          <w:kern w:val="0"/>
          <w:sz w:val="32"/>
          <w:szCs w:val="32"/>
          <w:u w:val="none"/>
          <w:lang w:eastAsia="en-US"/>
        </w:rPr>
        <w:t>5.50%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color w:val="auto"/>
          <w:sz w:val="32"/>
          <w:szCs w:val="32"/>
          <w:u w:val="none"/>
          <w:lang w:val="en-US" w:eastAsia="zh-CN"/>
        </w:rPr>
        <w:t>定点维修单位因承接任务饱和、配件供应延迟，未能在年内完成车辆检修项目，相应费用暂缓支付</w:t>
      </w:r>
      <w:r>
        <w:rPr>
          <w:rFonts w:hint="eastAsia" w:ascii="仿宋_GB2312" w:hAnsi="仿宋_GB2312" w:eastAsia="仿宋_GB2312" w:cs="仿宋_GB2312"/>
          <w:kern w:val="0"/>
          <w:sz w:val="32"/>
          <w:szCs w:val="32"/>
          <w:u w:val="none"/>
        </w:rPr>
        <w:t>。</w:t>
      </w:r>
    </w:p>
    <w:p w14:paraId="4213795B">
      <w:pPr>
        <w:pStyle w:val="33"/>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kern w:val="0"/>
          <w:sz w:val="32"/>
          <w:szCs w:val="32"/>
          <w:u w:val="none"/>
        </w:rPr>
      </w:pPr>
      <w:r>
        <w:rPr>
          <w:rFonts w:eastAsia="Times New Roman"/>
          <w:b/>
          <w:bCs/>
          <w:kern w:val="0"/>
          <w:sz w:val="32"/>
          <w:szCs w:val="32"/>
          <w:u w:val="none"/>
          <w:lang w:eastAsia="en-US"/>
        </w:rPr>
        <w:t>3</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公务接待费支出</w:t>
      </w:r>
      <w:r>
        <w:rPr>
          <w:rFonts w:eastAsia="Times New Roman"/>
          <w:kern w:val="0"/>
          <w:sz w:val="32"/>
          <w:szCs w:val="32"/>
          <w:u w:val="none"/>
          <w:lang w:eastAsia="en-US"/>
        </w:rPr>
        <w:t xml:space="preserve"> 0</w:t>
      </w:r>
      <w:r>
        <w:rPr>
          <w:rFonts w:hint="eastAsia" w:ascii="仿宋_GB2312" w:hAnsi="仿宋_GB2312" w:eastAsia="仿宋_GB2312" w:cs="仿宋_GB2312"/>
          <w:kern w:val="0"/>
          <w:sz w:val="32"/>
          <w:szCs w:val="32"/>
          <w:u w:val="none"/>
        </w:rPr>
        <w:t>万元。其中：国内公务接待支出</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万元，接待</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批次，</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人次，开支内容：</w:t>
      </w:r>
      <w:r>
        <w:rPr>
          <w:rFonts w:hint="eastAsia" w:ascii="仿宋_GB2312" w:hAnsi="仿宋_GB2312" w:eastAsia="仿宋_GB2312" w:cs="仿宋_GB2312"/>
          <w:color w:val="auto"/>
          <w:kern w:val="2"/>
          <w:sz w:val="32"/>
          <w:szCs w:val="32"/>
          <w:highlight w:val="none"/>
          <w:u w:val="none"/>
          <w:lang w:eastAsia="zh-CN"/>
        </w:rPr>
        <w:t>我单位本年无</w:t>
      </w:r>
      <w:r>
        <w:rPr>
          <w:rFonts w:hint="eastAsia" w:ascii="仿宋_GB2312" w:hAnsi="仿宋_GB2312" w:eastAsia="仿宋_GB2312" w:cs="仿宋_GB2312"/>
          <w:color w:val="auto"/>
          <w:kern w:val="2"/>
          <w:sz w:val="32"/>
          <w:szCs w:val="32"/>
          <w:highlight w:val="none"/>
          <w:u w:val="none"/>
        </w:rPr>
        <w:t>公务</w:t>
      </w:r>
      <w:r>
        <w:rPr>
          <w:rFonts w:hint="eastAsia" w:ascii="仿宋_GB2312" w:hAnsi="仿宋_GB2312" w:eastAsia="仿宋_GB2312" w:cs="仿宋_GB2312"/>
          <w:color w:val="auto"/>
          <w:kern w:val="2"/>
          <w:sz w:val="32"/>
          <w:szCs w:val="32"/>
          <w:highlight w:val="none"/>
          <w:u w:val="none"/>
          <w:lang w:eastAsia="zh-CN"/>
        </w:rPr>
        <w:t>接待费</w:t>
      </w:r>
      <w:r>
        <w:rPr>
          <w:rFonts w:hint="eastAsia" w:ascii="仿宋_GB2312" w:hAnsi="仿宋_GB2312" w:eastAsia="仿宋_GB2312" w:cs="仿宋_GB2312"/>
          <w:color w:val="auto"/>
          <w:kern w:val="2"/>
          <w:sz w:val="32"/>
          <w:szCs w:val="32"/>
          <w:highlight w:val="none"/>
          <w:u w:val="none"/>
        </w:rPr>
        <w:t>支出</w:t>
      </w:r>
      <w:r>
        <w:rPr>
          <w:rFonts w:hint="eastAsia" w:ascii="仿宋_GB2312" w:hAnsi="仿宋_GB2312" w:eastAsia="仿宋_GB2312" w:cs="仿宋_GB2312"/>
          <w:kern w:val="0"/>
          <w:sz w:val="32"/>
          <w:szCs w:val="32"/>
          <w:u w:val="none"/>
        </w:rPr>
        <w:t>；国（境）外公务接待支出</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万元，接待</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批次，</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人次，开支内容：</w:t>
      </w:r>
      <w:r>
        <w:rPr>
          <w:rFonts w:hint="eastAsia" w:ascii="仿宋_GB2312" w:hAnsi="仿宋_GB2312" w:eastAsia="仿宋_GB2312" w:cs="仿宋_GB2312"/>
          <w:color w:val="auto"/>
          <w:kern w:val="2"/>
          <w:sz w:val="32"/>
          <w:szCs w:val="32"/>
          <w:highlight w:val="none"/>
          <w:u w:val="none"/>
          <w:lang w:eastAsia="zh-CN"/>
        </w:rPr>
        <w:t>我单位本年无</w:t>
      </w:r>
      <w:r>
        <w:rPr>
          <w:rFonts w:hint="eastAsia" w:ascii="仿宋_GB2312" w:hAnsi="仿宋_GB2312" w:eastAsia="仿宋_GB2312" w:cs="仿宋_GB2312"/>
          <w:kern w:val="0"/>
          <w:sz w:val="32"/>
          <w:szCs w:val="32"/>
          <w:u w:val="none"/>
        </w:rPr>
        <w:t>国（境）外公务接待</w:t>
      </w:r>
      <w:r>
        <w:rPr>
          <w:rFonts w:hint="eastAsia" w:ascii="仿宋_GB2312" w:hAnsi="仿宋_GB2312" w:eastAsia="仿宋_GB2312" w:cs="仿宋_GB2312"/>
          <w:color w:val="auto"/>
          <w:kern w:val="2"/>
          <w:sz w:val="32"/>
          <w:szCs w:val="32"/>
          <w:highlight w:val="none"/>
          <w:u w:val="none"/>
        </w:rPr>
        <w:t>支出</w:t>
      </w:r>
      <w:r>
        <w:rPr>
          <w:rFonts w:hint="eastAsia" w:ascii="仿宋_GB2312" w:hAnsi="仿宋_GB2312" w:eastAsia="仿宋_GB2312" w:cs="仿宋_GB2312"/>
          <w:color w:val="auto"/>
          <w:kern w:val="2"/>
          <w:sz w:val="32"/>
          <w:szCs w:val="32"/>
          <w:highlight w:val="none"/>
          <w:u w:val="none"/>
          <w:lang w:eastAsia="zh-CN"/>
        </w:rPr>
        <w:t>。</w:t>
      </w:r>
      <w:r>
        <w:rPr>
          <w:rFonts w:hint="eastAsia" w:ascii="仿宋_GB2312" w:hAnsi="仿宋_GB2312" w:eastAsia="仿宋_GB2312" w:cs="仿宋_GB2312"/>
          <w:kern w:val="0"/>
          <w:sz w:val="32"/>
          <w:szCs w:val="32"/>
          <w:u w:val="none"/>
        </w:rPr>
        <w:t>与上年决算相比，减少</w:t>
      </w:r>
      <w:r>
        <w:rPr>
          <w:rFonts w:hint="eastAsia" w:ascii="仿宋_GB2312" w:hAnsi="仿宋_GB2312" w:eastAsia="仿宋_GB2312" w:cs="仿宋_GB2312"/>
          <w:kern w:val="0"/>
          <w:sz w:val="32"/>
          <w:szCs w:val="32"/>
          <w:u w:val="none"/>
          <w:lang w:eastAsia="en-US"/>
        </w:rPr>
        <w:t>0.22</w:t>
      </w:r>
      <w:r>
        <w:rPr>
          <w:rFonts w:hint="eastAsia" w:ascii="仿宋_GB2312" w:hAnsi="仿宋_GB2312" w:eastAsia="仿宋_GB2312" w:cs="仿宋_GB2312"/>
          <w:kern w:val="0"/>
          <w:sz w:val="32"/>
          <w:szCs w:val="32"/>
          <w:u w:val="none"/>
        </w:rPr>
        <w:t>万元，下降</w:t>
      </w:r>
      <w:r>
        <w:rPr>
          <w:rFonts w:hint="eastAsia" w:ascii="仿宋_GB2312" w:hAnsi="仿宋_GB2312" w:eastAsia="仿宋_GB2312" w:cs="仿宋_GB2312"/>
          <w:kern w:val="0"/>
          <w:sz w:val="32"/>
          <w:szCs w:val="32"/>
          <w:u w:val="none"/>
          <w:lang w:eastAsia="en-US"/>
        </w:rPr>
        <w:t>100.00%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eastAsia="en-US"/>
        </w:rPr>
        <w:t>本年单位无公务接待</w:t>
      </w:r>
      <w:r>
        <w:rPr>
          <w:rFonts w:hint="eastAsia" w:ascii="仿宋_GB2312" w:hAnsi="仿宋_GB2312" w:eastAsia="仿宋_GB2312" w:cs="仿宋_GB2312"/>
          <w:kern w:val="0"/>
          <w:sz w:val="32"/>
          <w:szCs w:val="32"/>
          <w:u w:val="none"/>
          <w:lang w:eastAsia="zh-CN"/>
        </w:rPr>
        <w:t>。</w:t>
      </w:r>
    </w:p>
    <w:p w14:paraId="59321373">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黑体" w:hAnsi="黑体" w:eastAsia="黑体" w:cs="黑体"/>
          <w:b/>
          <w:bCs/>
          <w:kern w:val="0"/>
          <w:sz w:val="32"/>
          <w:szCs w:val="32"/>
          <w:u w:val="none"/>
        </w:rPr>
      </w:pPr>
      <w:r>
        <w:rPr>
          <w:rFonts w:ascii="黑体" w:hAnsi="黑体" w:eastAsia="黑体" w:cs="黑体"/>
          <w:b/>
          <w:bCs/>
          <w:kern w:val="0"/>
          <w:sz w:val="32"/>
          <w:szCs w:val="32"/>
          <w:u w:val="none"/>
        </w:rPr>
        <w:t>九、政府性基金预算财政拨款支出决算情况说明</w:t>
      </w:r>
    </w:p>
    <w:p w14:paraId="598200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u w:val="none"/>
        </w:rPr>
      </w:pPr>
      <w:r>
        <w:rPr>
          <w:rFonts w:hint="eastAsia" w:ascii="仿宋_GB2312" w:hAnsi="仿宋_GB2312" w:eastAsia="仿宋_GB2312" w:cs="仿宋_GB2312"/>
          <w:kern w:val="0"/>
          <w:sz w:val="32"/>
          <w:szCs w:val="32"/>
          <w:u w:val="none"/>
        </w:rPr>
        <w:t>内蒙古自治区巴彦淖尔市房屋产权交易中心</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年度政府性基金预算财政拨款支出决算</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万元。与上年决算相比，增加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，变动原因：</w:t>
      </w:r>
      <w:bookmarkStart w:id="3" w:name="OLE_LINK3"/>
      <w:r>
        <w:rPr>
          <w:rFonts w:hint="eastAsia" w:ascii="仿宋_GB2312" w:hAnsi="仿宋_GB2312" w:eastAsia="仿宋_GB2312" w:cs="仿宋_GB2312"/>
          <w:color w:val="auto"/>
          <w:kern w:val="2"/>
          <w:sz w:val="32"/>
          <w:szCs w:val="32"/>
          <w:u w:val="none"/>
          <w:lang w:eastAsia="zh-CN"/>
        </w:rPr>
        <w:t>我</w:t>
      </w:r>
      <w:r>
        <w:rPr>
          <w:rFonts w:hint="eastAsia" w:ascii="仿宋_GB2312" w:hAnsi="仿宋_GB2312" w:eastAsia="仿宋_GB2312" w:cs="仿宋_GB2312"/>
          <w:color w:val="auto"/>
          <w:sz w:val="32"/>
          <w:szCs w:val="32"/>
          <w:u w:val="none"/>
        </w:rPr>
        <w:t>单位</w:t>
      </w:r>
      <w:bookmarkEnd w:id="3"/>
      <w:r>
        <w:rPr>
          <w:rFonts w:hint="eastAsia" w:ascii="仿宋_GB2312" w:hAnsi="仿宋_GB2312" w:eastAsia="仿宋_GB2312" w:cs="仿宋_GB2312"/>
          <w:color w:val="auto"/>
          <w:kern w:val="2"/>
          <w:sz w:val="32"/>
          <w:szCs w:val="32"/>
          <w:u w:val="none"/>
        </w:rPr>
        <w:t>本年</w:t>
      </w:r>
      <w:r>
        <w:rPr>
          <w:rFonts w:hint="eastAsia" w:ascii="仿宋_GB2312" w:hAnsi="仿宋_GB2312" w:eastAsia="仿宋_GB2312" w:cs="仿宋_GB2312"/>
          <w:color w:val="auto"/>
          <w:kern w:val="2"/>
          <w:sz w:val="32"/>
          <w:szCs w:val="32"/>
          <w:u w:val="none"/>
          <w:lang w:eastAsia="zh-CN"/>
        </w:rPr>
        <w:t>度</w:t>
      </w:r>
      <w:r>
        <w:rPr>
          <w:rFonts w:hint="eastAsia" w:ascii="仿宋_GB2312" w:hAnsi="仿宋_GB2312" w:eastAsia="仿宋_GB2312" w:cs="仿宋_GB2312"/>
          <w:color w:val="auto"/>
          <w:kern w:val="2"/>
          <w:sz w:val="32"/>
          <w:szCs w:val="32"/>
          <w:u w:val="none"/>
        </w:rPr>
        <w:t>无政府性基金预算财政拨款收、支、余</w:t>
      </w:r>
      <w:r>
        <w:rPr>
          <w:rFonts w:hint="eastAsia" w:ascii="仿宋_GB2312" w:hAnsi="仿宋_GB2312" w:eastAsia="仿宋_GB2312" w:cs="仿宋_GB2312"/>
          <w:kern w:val="2"/>
          <w:sz w:val="32"/>
          <w:u w:val="none"/>
        </w:rPr>
        <w:t>。</w:t>
      </w:r>
    </w:p>
    <w:p w14:paraId="78CAA171">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十、国有资本经营预算财政拨款支出决算情况说明</w:t>
      </w:r>
    </w:p>
    <w:p w14:paraId="3A293D73">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kern w:val="0"/>
          <w:sz w:val="32"/>
          <w:szCs w:val="32"/>
          <w:u w:val="none"/>
        </w:rPr>
        <w:t>内蒙古自治区巴彦淖尔市房屋产权交易中心</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年度国有资本经营预算财政拨款支出决算</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万元。与上年决算相比，增加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color w:val="auto"/>
          <w:kern w:val="0"/>
          <w:sz w:val="32"/>
          <w:szCs w:val="32"/>
          <w:u w:val="none"/>
          <w:lang w:eastAsia="zh-CN"/>
        </w:rPr>
        <w:t>我单位</w:t>
      </w:r>
      <w:r>
        <w:rPr>
          <w:rFonts w:hint="eastAsia" w:ascii="仿宋_GB2312" w:hAnsi="仿宋_GB2312" w:eastAsia="仿宋_GB2312" w:cs="仿宋_GB2312"/>
          <w:color w:val="auto"/>
          <w:kern w:val="0"/>
          <w:sz w:val="32"/>
          <w:szCs w:val="32"/>
          <w:u w:val="none"/>
        </w:rPr>
        <w:t>本年无国有资本经营预算财政拨款收、支、余。</w:t>
      </w:r>
    </w:p>
    <w:p w14:paraId="2A98CD95">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十一、机关运行经费（公用经费）支出决算情况说明</w:t>
      </w:r>
    </w:p>
    <w:p w14:paraId="61ACF5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xml:space="preserve">内蒙古自治区巴彦淖尔市房屋产权交易中心 </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年度公用经费支出决算</w:t>
      </w:r>
      <w:r>
        <w:rPr>
          <w:rFonts w:hint="eastAsia" w:ascii="仿宋_GB2312" w:hAnsi="仿宋_GB2312" w:eastAsia="仿宋_GB2312" w:cs="仿宋_GB2312"/>
          <w:kern w:val="0"/>
          <w:sz w:val="32"/>
          <w:szCs w:val="32"/>
          <w:u w:val="none"/>
          <w:lang w:eastAsia="en-US"/>
        </w:rPr>
        <w:t xml:space="preserve"> 40.08</w:t>
      </w:r>
      <w:r>
        <w:rPr>
          <w:rFonts w:hint="eastAsia" w:ascii="仿宋_GB2312" w:hAnsi="仿宋_GB2312" w:eastAsia="仿宋_GB2312" w:cs="仿宋_GB2312"/>
          <w:kern w:val="0"/>
          <w:sz w:val="32"/>
          <w:szCs w:val="32"/>
          <w:u w:val="none"/>
        </w:rPr>
        <w:t>万元，与上年决算相比，减少</w:t>
      </w:r>
      <w:r>
        <w:rPr>
          <w:rFonts w:hint="eastAsia" w:ascii="仿宋_GB2312" w:hAnsi="仿宋_GB2312" w:eastAsia="仿宋_GB2312" w:cs="仿宋_GB2312"/>
          <w:kern w:val="0"/>
          <w:sz w:val="32"/>
          <w:szCs w:val="32"/>
          <w:u w:val="none"/>
          <w:lang w:eastAsia="en-US"/>
        </w:rPr>
        <w:t>0.86</w:t>
      </w:r>
      <w:r>
        <w:rPr>
          <w:rFonts w:hint="eastAsia" w:ascii="仿宋_GB2312" w:hAnsi="仿宋_GB2312" w:eastAsia="仿宋_GB2312" w:cs="仿宋_GB2312"/>
          <w:kern w:val="0"/>
          <w:sz w:val="32"/>
          <w:szCs w:val="32"/>
          <w:u w:val="none"/>
        </w:rPr>
        <w:t>万元，下降</w:t>
      </w:r>
      <w:r>
        <w:rPr>
          <w:rFonts w:hint="eastAsia" w:ascii="仿宋_GB2312" w:hAnsi="仿宋_GB2312" w:eastAsia="仿宋_GB2312" w:cs="仿宋_GB2312"/>
          <w:kern w:val="0"/>
          <w:sz w:val="32"/>
          <w:szCs w:val="32"/>
          <w:u w:val="none"/>
          <w:lang w:eastAsia="en-US"/>
        </w:rPr>
        <w:t>2.11%</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sz w:val="32"/>
          <w:szCs w:val="32"/>
          <w:u w:val="none"/>
          <w:lang w:val="en-US" w:eastAsia="zh-CN"/>
        </w:rPr>
        <w:t>购买办公用品商家因年底税票使用完，无法开具税票。2、单位公共使用面积进行调整，分摊费用相应减少。3、单位一名女职工2月办理退休，结余剩余10个月的妇女卫生费。4、</w:t>
      </w:r>
      <w:r>
        <w:rPr>
          <w:rFonts w:hint="eastAsia" w:ascii="仿宋_GB2312" w:hAnsi="仿宋_GB2312" w:eastAsia="仿宋_GB2312" w:cs="仿宋_GB2312"/>
          <w:color w:val="auto"/>
          <w:sz w:val="32"/>
          <w:szCs w:val="32"/>
          <w:u w:val="none"/>
          <w:lang w:val="en-US" w:eastAsia="zh-CN"/>
        </w:rPr>
        <w:t>定点维修单位因承接任务饱和、配件供应延迟，未能在年内完成车辆检修项目，相应费用暂缓支付</w:t>
      </w:r>
      <w:r>
        <w:rPr>
          <w:rFonts w:hint="eastAsia" w:ascii="仿宋_GB2312" w:hAnsi="仿宋_GB2312" w:eastAsia="仿宋_GB2312" w:cs="仿宋_GB2312"/>
          <w:kern w:val="0"/>
          <w:sz w:val="32"/>
          <w:szCs w:val="32"/>
          <w:u w:val="none"/>
        </w:rPr>
        <w:t>。其中，机关运行经费支出决算</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万元。比上年决算相比，增加</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万元，增长</w:t>
      </w:r>
      <w:r>
        <w:rPr>
          <w:rFonts w:hint="eastAsia" w:ascii="仿宋_GB2312" w:hAnsi="仿宋_GB2312" w:eastAsia="仿宋_GB2312" w:cs="仿宋_GB2312"/>
          <w:kern w:val="0"/>
          <w:sz w:val="32"/>
          <w:szCs w:val="32"/>
          <w:u w:val="none"/>
          <w:lang w:eastAsia="en-US"/>
        </w:rPr>
        <w:t>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color w:val="auto"/>
          <w:kern w:val="0"/>
          <w:sz w:val="32"/>
          <w:szCs w:val="32"/>
          <w:u w:val="none"/>
        </w:rPr>
        <w:t>我单位类型为</w:t>
      </w:r>
      <w:r>
        <w:rPr>
          <w:rFonts w:hint="eastAsia" w:ascii="仿宋_GB2312" w:hAnsi="仿宋_GB2312" w:eastAsia="仿宋_GB2312" w:cs="仿宋_GB2312"/>
          <w:color w:val="auto"/>
          <w:kern w:val="0"/>
          <w:sz w:val="32"/>
          <w:szCs w:val="32"/>
          <w:u w:val="none"/>
          <w:lang w:eastAsia="zh-CN"/>
        </w:rPr>
        <w:t>公益一</w:t>
      </w:r>
      <w:r>
        <w:rPr>
          <w:rFonts w:hint="eastAsia" w:ascii="仿宋_GB2312" w:hAnsi="仿宋_GB2312" w:eastAsia="仿宋_GB2312" w:cs="仿宋_GB2312"/>
          <w:color w:val="auto"/>
          <w:kern w:val="0"/>
          <w:sz w:val="32"/>
          <w:szCs w:val="32"/>
          <w:u w:val="none"/>
        </w:rPr>
        <w:t>类</w:t>
      </w:r>
      <w:r>
        <w:rPr>
          <w:rFonts w:hint="eastAsia" w:ascii="仿宋_GB2312" w:hAnsi="仿宋_GB2312" w:eastAsia="仿宋_GB2312" w:cs="仿宋_GB2312"/>
          <w:color w:val="auto"/>
          <w:kern w:val="0"/>
          <w:sz w:val="32"/>
          <w:szCs w:val="32"/>
          <w:u w:val="none"/>
          <w:lang w:eastAsia="zh-CN"/>
        </w:rPr>
        <w:t>事业</w:t>
      </w:r>
      <w:r>
        <w:rPr>
          <w:rFonts w:hint="eastAsia" w:ascii="仿宋_GB2312" w:hAnsi="仿宋_GB2312" w:eastAsia="仿宋_GB2312" w:cs="仿宋_GB2312"/>
          <w:color w:val="auto"/>
          <w:kern w:val="0"/>
          <w:sz w:val="32"/>
          <w:szCs w:val="32"/>
          <w:u w:val="none"/>
        </w:rPr>
        <w:t>单位，无机关运行经费支出。</w:t>
      </w:r>
    </w:p>
    <w:p w14:paraId="7311E08F">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十二、政府采购支出决算情况说明</w:t>
      </w:r>
    </w:p>
    <w:p w14:paraId="46289D29">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内蒙古自治区巴彦淖尔市房屋产权交易中心</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年度政府采购支出总额</w:t>
      </w:r>
      <w:r>
        <w:rPr>
          <w:rFonts w:hint="eastAsia" w:ascii="仿宋_GB2312" w:hAnsi="仿宋_GB2312" w:eastAsia="仿宋_GB2312" w:cs="仿宋_GB2312"/>
          <w:kern w:val="0"/>
          <w:sz w:val="32"/>
          <w:szCs w:val="32"/>
          <w:u w:val="none"/>
          <w:lang w:eastAsia="en-US"/>
        </w:rPr>
        <w:t xml:space="preserve"> 17.84</w:t>
      </w:r>
      <w:r>
        <w:rPr>
          <w:rFonts w:hint="eastAsia" w:ascii="仿宋_GB2312" w:hAnsi="仿宋_GB2312" w:eastAsia="仿宋_GB2312" w:cs="仿宋_GB2312"/>
          <w:kern w:val="0"/>
          <w:sz w:val="32"/>
          <w:szCs w:val="32"/>
          <w:u w:val="none"/>
        </w:rPr>
        <w:t>万元，其中：政府采购货物支出</w:t>
      </w:r>
      <w:r>
        <w:rPr>
          <w:rFonts w:hint="eastAsia" w:ascii="仿宋_GB2312" w:hAnsi="仿宋_GB2312" w:eastAsia="仿宋_GB2312" w:cs="仿宋_GB2312"/>
          <w:kern w:val="0"/>
          <w:sz w:val="32"/>
          <w:szCs w:val="32"/>
          <w:u w:val="none"/>
          <w:lang w:eastAsia="en-US"/>
        </w:rPr>
        <w:t xml:space="preserve"> 8.39</w:t>
      </w:r>
      <w:r>
        <w:rPr>
          <w:rFonts w:hint="eastAsia" w:ascii="仿宋_GB2312" w:hAnsi="仿宋_GB2312" w:eastAsia="仿宋_GB2312" w:cs="仿宋_GB2312"/>
          <w:kern w:val="0"/>
          <w:sz w:val="32"/>
          <w:szCs w:val="32"/>
          <w:u w:val="none"/>
        </w:rPr>
        <w:t>万元、政府采购工程支出</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万元、政府采购服务支出</w:t>
      </w:r>
      <w:r>
        <w:rPr>
          <w:rFonts w:hint="eastAsia" w:ascii="仿宋_GB2312" w:hAnsi="仿宋_GB2312" w:eastAsia="仿宋_GB2312" w:cs="仿宋_GB2312"/>
          <w:kern w:val="0"/>
          <w:sz w:val="32"/>
          <w:szCs w:val="32"/>
          <w:u w:val="none"/>
          <w:lang w:eastAsia="en-US"/>
        </w:rPr>
        <w:t xml:space="preserve"> 9.45</w:t>
      </w:r>
      <w:r>
        <w:rPr>
          <w:rFonts w:hint="eastAsia" w:ascii="仿宋_GB2312" w:hAnsi="仿宋_GB2312" w:eastAsia="仿宋_GB2312" w:cs="仿宋_GB2312"/>
          <w:kern w:val="0"/>
          <w:sz w:val="32"/>
          <w:szCs w:val="32"/>
          <w:u w:val="none"/>
        </w:rPr>
        <w:t>万元。政府采购授予中小企业合同金额</w:t>
      </w:r>
      <w:r>
        <w:rPr>
          <w:rFonts w:hint="eastAsia" w:ascii="仿宋_GB2312" w:hAnsi="仿宋_GB2312" w:eastAsia="仿宋_GB2312" w:cs="仿宋_GB2312"/>
          <w:kern w:val="0"/>
          <w:sz w:val="32"/>
          <w:szCs w:val="32"/>
          <w:u w:val="none"/>
          <w:lang w:eastAsia="en-US"/>
        </w:rPr>
        <w:t xml:space="preserve"> 14.37</w:t>
      </w:r>
      <w:r>
        <w:rPr>
          <w:rFonts w:hint="eastAsia" w:ascii="仿宋_GB2312" w:hAnsi="仿宋_GB2312" w:eastAsia="仿宋_GB2312" w:cs="仿宋_GB2312"/>
          <w:kern w:val="0"/>
          <w:sz w:val="32"/>
          <w:szCs w:val="32"/>
          <w:u w:val="none"/>
        </w:rPr>
        <w:t>万元，占政府采购支出总额的</w:t>
      </w:r>
      <w:r>
        <w:rPr>
          <w:rFonts w:hint="eastAsia" w:ascii="仿宋_GB2312" w:hAnsi="仿宋_GB2312" w:eastAsia="仿宋_GB2312" w:cs="仿宋_GB2312"/>
          <w:kern w:val="0"/>
          <w:sz w:val="32"/>
          <w:szCs w:val="32"/>
          <w:u w:val="none"/>
          <w:lang w:val="en-US" w:eastAsia="zh-CN"/>
        </w:rPr>
        <w:t>80.54</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，其中：授予小微企业合同金额</w:t>
      </w:r>
      <w:r>
        <w:rPr>
          <w:rFonts w:hint="eastAsia" w:ascii="仿宋_GB2312" w:hAnsi="仿宋_GB2312" w:eastAsia="仿宋_GB2312" w:cs="仿宋_GB2312"/>
          <w:kern w:val="0"/>
          <w:sz w:val="32"/>
          <w:szCs w:val="32"/>
          <w:u w:val="none"/>
          <w:lang w:eastAsia="en-US"/>
        </w:rPr>
        <w:t xml:space="preserve"> 12.49</w:t>
      </w:r>
      <w:r>
        <w:rPr>
          <w:rFonts w:hint="eastAsia" w:ascii="仿宋_GB2312" w:hAnsi="仿宋_GB2312" w:eastAsia="仿宋_GB2312" w:cs="仿宋_GB2312"/>
          <w:kern w:val="0"/>
          <w:sz w:val="32"/>
          <w:szCs w:val="32"/>
          <w:u w:val="none"/>
        </w:rPr>
        <w:t>万元，占政府采购支出总额的</w:t>
      </w:r>
      <w:r>
        <w:rPr>
          <w:rFonts w:hint="eastAsia" w:ascii="仿宋_GB2312" w:hAnsi="仿宋_GB2312" w:eastAsia="仿宋_GB2312" w:cs="仿宋_GB2312"/>
          <w:kern w:val="0"/>
          <w:sz w:val="32"/>
          <w:szCs w:val="32"/>
          <w:u w:val="none"/>
          <w:lang w:val="en-US" w:eastAsia="zh-CN"/>
        </w:rPr>
        <w:t>70.01</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；货物采购授予中小企业合同金额占货物支出金额的</w:t>
      </w:r>
      <w:r>
        <w:rPr>
          <w:rFonts w:hint="eastAsia" w:ascii="仿宋_GB2312" w:hAnsi="仿宋_GB2312" w:eastAsia="仿宋_GB2312" w:cs="仿宋_GB2312"/>
          <w:kern w:val="0"/>
          <w:sz w:val="32"/>
          <w:szCs w:val="32"/>
          <w:u w:val="none"/>
          <w:lang w:val="en-US" w:eastAsia="zh-CN"/>
        </w:rPr>
        <w:t>63.17</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，工程采购授予中小企业合同金额占工程支出金额的</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，服务采购授予中小企业合同金额占服务支出金额的</w:t>
      </w:r>
      <w:r>
        <w:rPr>
          <w:rFonts w:hint="eastAsia" w:ascii="仿宋_GB2312" w:hAnsi="仿宋_GB2312" w:eastAsia="仿宋_GB2312" w:cs="仿宋_GB2312"/>
          <w:kern w:val="0"/>
          <w:sz w:val="32"/>
          <w:szCs w:val="32"/>
          <w:u w:val="none"/>
          <w:lang w:val="en-US" w:eastAsia="zh-CN"/>
        </w:rPr>
        <w:t>95.98</w:t>
      </w:r>
      <w:r>
        <w:rPr>
          <w:rFonts w:hint="eastAsia" w:ascii="仿宋_GB2312" w:hAnsi="仿宋_GB2312" w:eastAsia="仿宋_GB2312" w:cs="仿宋_GB2312"/>
          <w:kern w:val="0"/>
          <w:sz w:val="32"/>
          <w:szCs w:val="32"/>
          <w:u w:val="none"/>
          <w:lang w:eastAsia="en-US"/>
        </w:rPr>
        <w:t>%</w:t>
      </w:r>
      <w:r>
        <w:rPr>
          <w:rFonts w:hint="eastAsia" w:ascii="仿宋_GB2312" w:hAnsi="仿宋_GB2312" w:eastAsia="仿宋_GB2312" w:cs="仿宋_GB2312"/>
          <w:kern w:val="0"/>
          <w:sz w:val="32"/>
          <w:szCs w:val="32"/>
          <w:u w:val="none"/>
        </w:rPr>
        <w:t>。</w:t>
      </w:r>
    </w:p>
    <w:p w14:paraId="7045E1FF">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十三、国有资产占用情况说明</w:t>
      </w:r>
    </w:p>
    <w:p w14:paraId="21D2CBF2">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firstLineChars="200"/>
        <w:jc w:val="both"/>
        <w:textAlignment w:val="auto"/>
        <w:rPr>
          <w:rFonts w:ascii="Times New Roman" w:hAnsi="Times New Roman" w:eastAsia="Times New Roman" w:cs="Times New Roman"/>
          <w:kern w:val="0"/>
          <w:sz w:val="24"/>
          <w:u w:val="none"/>
        </w:rPr>
      </w:pPr>
      <w:r>
        <w:rPr>
          <w:rFonts w:hint="eastAsia" w:ascii="仿宋_GB2312" w:hAnsi="仿宋_GB2312" w:eastAsia="仿宋_GB2312" w:cs="仿宋_GB2312"/>
          <w:kern w:val="0"/>
          <w:sz w:val="32"/>
          <w:szCs w:val="32"/>
          <w:u w:val="none"/>
        </w:rPr>
        <w:t>内蒙古自治区巴彦淖尔市房屋产权交易中心截至</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w:t>
      </w:r>
      <w:r>
        <w:rPr>
          <w:rFonts w:hint="eastAsia" w:ascii="仿宋_GB2312" w:hAnsi="仿宋_GB2312" w:eastAsia="仿宋_GB2312" w:cs="仿宋_GB2312"/>
          <w:kern w:val="0"/>
          <w:sz w:val="32"/>
          <w:szCs w:val="32"/>
          <w:u w:val="none"/>
          <w:lang w:eastAsia="en-US"/>
        </w:rPr>
        <w:t>12</w:t>
      </w:r>
      <w:r>
        <w:rPr>
          <w:rFonts w:hint="eastAsia" w:ascii="仿宋_GB2312" w:hAnsi="仿宋_GB2312" w:eastAsia="仿宋_GB2312" w:cs="仿宋_GB2312"/>
          <w:kern w:val="0"/>
          <w:sz w:val="32"/>
          <w:szCs w:val="32"/>
          <w:u w:val="none"/>
        </w:rPr>
        <w:t>月</w:t>
      </w:r>
      <w:r>
        <w:rPr>
          <w:rFonts w:hint="eastAsia" w:ascii="仿宋_GB2312" w:hAnsi="仿宋_GB2312" w:eastAsia="仿宋_GB2312" w:cs="仿宋_GB2312"/>
          <w:kern w:val="0"/>
          <w:sz w:val="32"/>
          <w:szCs w:val="32"/>
          <w:u w:val="none"/>
          <w:lang w:eastAsia="en-US"/>
        </w:rPr>
        <w:t>31</w:t>
      </w:r>
      <w:r>
        <w:rPr>
          <w:rFonts w:hint="eastAsia" w:ascii="仿宋_GB2312" w:hAnsi="仿宋_GB2312" w:eastAsia="仿宋_GB2312" w:cs="仿宋_GB2312"/>
          <w:kern w:val="0"/>
          <w:sz w:val="32"/>
          <w:szCs w:val="32"/>
          <w:u w:val="none"/>
        </w:rPr>
        <w:t>日，本单位共有车辆</w:t>
      </w:r>
      <w:r>
        <w:rPr>
          <w:rFonts w:hint="eastAsia" w:ascii="仿宋_GB2312" w:hAnsi="仿宋_GB2312" w:eastAsia="仿宋_GB2312" w:cs="仿宋_GB2312"/>
          <w:kern w:val="0"/>
          <w:sz w:val="32"/>
          <w:szCs w:val="32"/>
          <w:u w:val="none"/>
          <w:lang w:eastAsia="en-US"/>
        </w:rPr>
        <w:t xml:space="preserve">1 </w:t>
      </w:r>
      <w:r>
        <w:rPr>
          <w:rFonts w:hint="eastAsia" w:ascii="仿宋_GB2312" w:hAnsi="仿宋_GB2312" w:eastAsia="仿宋_GB2312" w:cs="仿宋_GB2312"/>
          <w:kern w:val="0"/>
          <w:sz w:val="32"/>
          <w:szCs w:val="32"/>
          <w:u w:val="none"/>
        </w:rPr>
        <w:t>辆，其中：副部（省）级及以上领导用车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辆、主要负责人用车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辆、机要通信用车</w:t>
      </w:r>
      <w:r>
        <w:rPr>
          <w:rFonts w:hint="eastAsia" w:ascii="仿宋_GB2312" w:hAnsi="仿宋_GB2312" w:eastAsia="仿宋_GB2312" w:cs="仿宋_GB2312"/>
          <w:kern w:val="0"/>
          <w:sz w:val="32"/>
          <w:szCs w:val="32"/>
          <w:u w:val="none"/>
          <w:lang w:eastAsia="en-US"/>
        </w:rPr>
        <w:t xml:space="preserve">1 </w:t>
      </w:r>
      <w:r>
        <w:rPr>
          <w:rFonts w:hint="eastAsia" w:ascii="仿宋_GB2312" w:hAnsi="仿宋_GB2312" w:eastAsia="仿宋_GB2312" w:cs="仿宋_GB2312"/>
          <w:kern w:val="0"/>
          <w:sz w:val="32"/>
          <w:szCs w:val="32"/>
          <w:u w:val="none"/>
        </w:rPr>
        <w:t>辆、应急保障用车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辆、执法执勤用车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辆、特种专业技术用车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辆、离退休干部服务用车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辆、其他用车</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辆，单价</w:t>
      </w:r>
      <w:r>
        <w:rPr>
          <w:rFonts w:hint="eastAsia" w:ascii="仿宋_GB2312" w:hAnsi="仿宋_GB2312" w:eastAsia="仿宋_GB2312" w:cs="仿宋_GB2312"/>
          <w:kern w:val="0"/>
          <w:sz w:val="32"/>
          <w:szCs w:val="32"/>
          <w:u w:val="none"/>
          <w:lang w:eastAsia="en-US"/>
        </w:rPr>
        <w:t>100</w:t>
      </w:r>
      <w:r>
        <w:rPr>
          <w:rFonts w:hint="eastAsia" w:ascii="仿宋_GB2312" w:hAnsi="仿宋_GB2312" w:eastAsia="仿宋_GB2312" w:cs="仿宋_GB2312"/>
          <w:kern w:val="0"/>
          <w:sz w:val="32"/>
          <w:szCs w:val="32"/>
          <w:u w:val="none"/>
        </w:rPr>
        <w:t>万元（含）以上设备（不含车辆）</w:t>
      </w:r>
      <w:r>
        <w:rPr>
          <w:rFonts w:hint="eastAsia" w:ascii="仿宋_GB2312" w:hAnsi="仿宋_GB2312" w:eastAsia="仿宋_GB2312" w:cs="仿宋_GB2312"/>
          <w:kern w:val="0"/>
          <w:sz w:val="32"/>
          <w:szCs w:val="32"/>
          <w:u w:val="none"/>
          <w:lang w:eastAsia="en-US"/>
        </w:rPr>
        <w:t xml:space="preserve">0 </w:t>
      </w:r>
      <w:r>
        <w:rPr>
          <w:rFonts w:hint="eastAsia" w:ascii="仿宋_GB2312" w:hAnsi="仿宋_GB2312" w:eastAsia="仿宋_GB2312" w:cs="仿宋_GB2312"/>
          <w:kern w:val="0"/>
          <w:sz w:val="32"/>
          <w:szCs w:val="32"/>
          <w:u w:val="none"/>
        </w:rPr>
        <w:t>台（套）</w:t>
      </w:r>
      <w:r>
        <w:rPr>
          <w:rFonts w:ascii="FangSong_GB2312" w:hAnsi="FangSong_GB2312" w:eastAsia="FangSong_GB2312" w:cs="FangSong_GB2312"/>
          <w:kern w:val="0"/>
          <w:sz w:val="32"/>
          <w:szCs w:val="32"/>
          <w:u w:val="none"/>
        </w:rPr>
        <w:t>。</w:t>
      </w:r>
    </w:p>
    <w:p w14:paraId="16DD6F09">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黑体" w:hAnsi="黑体" w:eastAsia="黑体" w:cs="黑体"/>
          <w:b/>
          <w:bCs/>
          <w:kern w:val="0"/>
          <w:sz w:val="32"/>
          <w:szCs w:val="32"/>
          <w:u w:val="none"/>
        </w:rPr>
        <w:t>十四、预算绩效情况说明</w:t>
      </w:r>
    </w:p>
    <w:p w14:paraId="2788B717">
      <w:pPr>
        <w:pStyle w:val="33"/>
        <w:keepNext w:val="0"/>
        <w:keepLines w:val="0"/>
        <w:pageBreakBefore w:val="0"/>
        <w:widowControl/>
        <w:kinsoku/>
        <w:wordWrap/>
        <w:overflowPunct/>
        <w:topLinePunct w:val="0"/>
        <w:autoSpaceDE/>
        <w:autoSpaceDN/>
        <w:bidi w:val="0"/>
        <w:snapToGrid/>
        <w:spacing w:before="240" w:after="240" w:line="560" w:lineRule="exact"/>
        <w:ind w:firstLine="643"/>
        <w:jc w:val="left"/>
        <w:textAlignment w:val="auto"/>
        <w:rPr>
          <w:rFonts w:ascii="Times New Roman" w:hAnsi="Times New Roman" w:eastAsia="Times New Roman" w:cs="Times New Roman"/>
          <w:kern w:val="0"/>
          <w:sz w:val="24"/>
          <w:u w:val="none"/>
        </w:rPr>
      </w:pPr>
      <w:r>
        <w:rPr>
          <w:rFonts w:ascii="楷体" w:hAnsi="楷体" w:eastAsia="楷体" w:cs="楷体"/>
          <w:b/>
          <w:bCs/>
          <w:kern w:val="0"/>
          <w:sz w:val="32"/>
          <w:szCs w:val="32"/>
          <w:u w:val="none"/>
        </w:rPr>
        <w:t>（一）预算绩效管理工作开展情况。</w:t>
      </w:r>
    </w:p>
    <w:p w14:paraId="54905828">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lang w:eastAsia="zh-CN"/>
        </w:rPr>
      </w:pPr>
      <w:r>
        <w:rPr>
          <w:rFonts w:hint="eastAsia" w:ascii="仿宋_GB2312" w:hAnsi="仿宋_GB2312" w:eastAsia="仿宋_GB2312" w:cs="仿宋_GB2312"/>
          <w:kern w:val="0"/>
          <w:sz w:val="32"/>
          <w:szCs w:val="32"/>
          <w:u w:val="none"/>
        </w:rPr>
        <w:t>内蒙古自治区巴彦淖尔市房屋产权交易中心根据预算绩效管理要求组织对</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年一般公共预算项目支出全面开展绩效自评，共涉及项目</w:t>
      </w: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kern w:val="0"/>
          <w:sz w:val="32"/>
          <w:szCs w:val="32"/>
          <w:u w:val="none"/>
        </w:rPr>
        <w:t>个，资金</w:t>
      </w:r>
      <w:r>
        <w:rPr>
          <w:rFonts w:hint="eastAsia" w:ascii="仿宋_GB2312" w:hAnsi="仿宋_GB2312" w:eastAsia="仿宋_GB2312" w:cs="仿宋_GB2312"/>
          <w:kern w:val="0"/>
          <w:sz w:val="32"/>
          <w:szCs w:val="32"/>
          <w:u w:val="none"/>
          <w:lang w:eastAsia="en-US"/>
        </w:rPr>
        <w:t xml:space="preserve"> 9.56</w:t>
      </w:r>
      <w:r>
        <w:rPr>
          <w:rFonts w:hint="eastAsia" w:ascii="仿宋_GB2312" w:hAnsi="仿宋_GB2312" w:eastAsia="仿宋_GB2312" w:cs="仿宋_GB2312"/>
          <w:kern w:val="0"/>
          <w:sz w:val="32"/>
          <w:szCs w:val="32"/>
          <w:u w:val="none"/>
        </w:rPr>
        <w:t>万元，占一般公共预算项目支出总额的</w:t>
      </w:r>
      <w:r>
        <w:rPr>
          <w:rFonts w:hint="eastAsia" w:ascii="仿宋_GB2312" w:hAnsi="仿宋_GB2312" w:eastAsia="仿宋_GB2312" w:cs="仿宋_GB2312"/>
          <w:kern w:val="0"/>
          <w:sz w:val="32"/>
          <w:szCs w:val="32"/>
          <w:u w:val="none"/>
          <w:lang w:eastAsia="en-US"/>
        </w:rPr>
        <w:t>100%</w:t>
      </w:r>
      <w:r>
        <w:rPr>
          <w:rFonts w:hint="eastAsia" w:ascii="仿宋_GB2312" w:hAnsi="仿宋_GB2312" w:eastAsia="仿宋_GB2312" w:cs="仿宋_GB2312"/>
          <w:kern w:val="0"/>
          <w:sz w:val="32"/>
          <w:szCs w:val="32"/>
          <w:u w:val="none"/>
        </w:rPr>
        <w:t>；政府性基金预算项目</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个，共涉及资金</w:t>
      </w:r>
      <w:r>
        <w:rPr>
          <w:rFonts w:hint="eastAsia" w:ascii="仿宋_GB2312" w:hAnsi="仿宋_GB2312" w:eastAsia="仿宋_GB2312" w:cs="仿宋_GB2312"/>
          <w:kern w:val="0"/>
          <w:sz w:val="32"/>
          <w:szCs w:val="32"/>
          <w:u w:val="none"/>
          <w:lang w:eastAsia="en-US"/>
        </w:rPr>
        <w:t xml:space="preserve"> 0</w:t>
      </w:r>
      <w:r>
        <w:rPr>
          <w:rFonts w:hint="eastAsia" w:ascii="仿宋_GB2312" w:hAnsi="仿宋_GB2312" w:eastAsia="仿宋_GB2312" w:cs="仿宋_GB2312"/>
          <w:kern w:val="0"/>
          <w:sz w:val="32"/>
          <w:szCs w:val="32"/>
          <w:u w:val="none"/>
        </w:rPr>
        <w:t>万元，占政府性基金预算项目支出总额的</w:t>
      </w:r>
      <w:r>
        <w:rPr>
          <w:rFonts w:hint="eastAsia" w:ascii="仿宋_GB2312" w:hAnsi="仿宋_GB2312" w:eastAsia="仿宋_GB2312" w:cs="仿宋_GB2312"/>
          <w:kern w:val="0"/>
          <w:sz w:val="32"/>
          <w:szCs w:val="32"/>
          <w:u w:val="none"/>
          <w:lang w:eastAsia="en-US"/>
        </w:rPr>
        <w:t>100%</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组织对</w:t>
      </w:r>
      <w:r>
        <w:rPr>
          <w:rFonts w:hint="eastAsia" w:ascii="仿宋_GB2312" w:hAnsi="仿宋_GB2312" w:eastAsia="仿宋_GB2312" w:cs="仿宋_GB2312"/>
          <w:kern w:val="0"/>
          <w:sz w:val="32"/>
          <w:szCs w:val="32"/>
          <w:u w:val="none"/>
          <w:lang w:eastAsia="zh-CN"/>
        </w:rPr>
        <w:t>专项业务费</w:t>
      </w: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kern w:val="0"/>
          <w:sz w:val="32"/>
          <w:szCs w:val="32"/>
          <w:u w:val="none"/>
        </w:rPr>
        <w:t>个项目开展了部门评价，涉及一般公共预算支出</w:t>
      </w:r>
      <w:r>
        <w:rPr>
          <w:rFonts w:hint="eastAsia" w:ascii="仿宋_GB2312" w:hAnsi="仿宋_GB2312" w:eastAsia="仿宋_GB2312" w:cs="仿宋_GB2312"/>
          <w:kern w:val="0"/>
          <w:sz w:val="32"/>
          <w:szCs w:val="32"/>
          <w:u w:val="none"/>
          <w:lang w:val="en-US" w:eastAsia="zh-CN"/>
        </w:rPr>
        <w:t>9.56</w:t>
      </w:r>
      <w:r>
        <w:rPr>
          <w:rFonts w:hint="eastAsia" w:ascii="仿宋_GB2312" w:hAnsi="仿宋_GB2312" w:eastAsia="仿宋_GB2312" w:cs="仿宋_GB2312"/>
          <w:kern w:val="0"/>
          <w:sz w:val="32"/>
          <w:szCs w:val="32"/>
          <w:u w:val="none"/>
        </w:rPr>
        <w:t>万元，政府性基金支出</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w:t>
      </w:r>
      <w:r>
        <w:rPr>
          <w:rFonts w:hint="eastAsia" w:ascii="仿宋_GB2312" w:hAnsi="仿宋_GB2312" w:eastAsia="仿宋_GB2312" w:cs="仿宋_GB2312"/>
          <w:kern w:val="0"/>
          <w:sz w:val="32"/>
          <w:szCs w:val="32"/>
          <w:u w:val="none"/>
          <w:lang w:eastAsia="zh-CN"/>
        </w:rPr>
        <w:t>。</w:t>
      </w:r>
    </w:p>
    <w:p w14:paraId="28245EE7">
      <w:pPr>
        <w:pStyle w:val="33"/>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（二）单位决算中项目绩效自评结果。</w:t>
      </w:r>
    </w:p>
    <w:p w14:paraId="6A33731E">
      <w:pPr>
        <w:pStyle w:val="33"/>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内蒙古自治区巴彦淖尔市房屋产权交易中心</w:t>
      </w:r>
      <w:r>
        <w:rPr>
          <w:rFonts w:hint="eastAsia" w:ascii="仿宋_GB2312" w:hAnsi="仿宋_GB2312" w:eastAsia="仿宋_GB2312" w:cs="仿宋_GB2312"/>
          <w:kern w:val="0"/>
          <w:sz w:val="32"/>
          <w:szCs w:val="32"/>
          <w:u w:val="none"/>
          <w:lang w:eastAsia="en-US"/>
        </w:rPr>
        <w:t>2025</w:t>
      </w:r>
      <w:r>
        <w:rPr>
          <w:rFonts w:hint="eastAsia" w:ascii="仿宋_GB2312" w:hAnsi="仿宋_GB2312" w:eastAsia="仿宋_GB2312" w:cs="仿宋_GB2312"/>
          <w:kern w:val="0"/>
          <w:sz w:val="32"/>
          <w:szCs w:val="32"/>
          <w:u w:val="none"/>
        </w:rPr>
        <w:t>年度在决算中反映</w:t>
      </w: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kern w:val="0"/>
          <w:sz w:val="32"/>
          <w:szCs w:val="32"/>
          <w:u w:val="none"/>
        </w:rPr>
        <w:t>个一般公共预算项目，以及</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个政府性基金项目，共</w:t>
      </w: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kern w:val="0"/>
          <w:sz w:val="32"/>
          <w:szCs w:val="32"/>
          <w:u w:val="none"/>
        </w:rPr>
        <w:t>个项目的绩效自评结果。</w:t>
      </w:r>
    </w:p>
    <w:p w14:paraId="20498978">
      <w:pPr>
        <w:keepNext w:val="0"/>
        <w:keepLines w:val="0"/>
        <w:pageBreakBefore w:val="0"/>
        <w:widowControl w:val="0"/>
        <w:numPr>
          <w:ilvl w:val="0"/>
          <w:numId w:val="2"/>
        </w:numPr>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ascii="仿宋" w:hAnsi="仿宋" w:eastAsia="仿宋" w:cs="仿宋"/>
          <w:sz w:val="32"/>
        </w:rPr>
      </w:pPr>
      <w:r>
        <w:rPr>
          <w:rFonts w:hint="eastAsia" w:ascii="仿宋_GB2312" w:hAnsi="仿宋_GB2312" w:eastAsia="仿宋_GB2312" w:cs="仿宋_GB2312"/>
          <w:kern w:val="2"/>
          <w:sz w:val="32"/>
          <w:lang w:eastAsia="zh-CN"/>
        </w:rPr>
        <w:t>房屋产权交易业务费</w:t>
      </w:r>
      <w:r>
        <w:rPr>
          <w:rFonts w:hint="eastAsia" w:ascii="仿宋_GB2312" w:hAnsi="仿宋_GB2312" w:eastAsia="仿宋_GB2312" w:cs="仿宋_GB2312"/>
          <w:kern w:val="2"/>
          <w:sz w:val="32"/>
        </w:rPr>
        <w:t>项目</w:t>
      </w:r>
      <w:r>
        <w:rPr>
          <w:rFonts w:ascii="FangSong_GB2312" w:hAnsi="FangSong_GB2312" w:eastAsia="FangSong_GB2312" w:cs="FangSong_GB2312"/>
          <w:kern w:val="0"/>
          <w:sz w:val="32"/>
          <w:szCs w:val="32"/>
        </w:rPr>
        <w:t>自评综述：根据年初设定的绩效目标，</w:t>
      </w:r>
      <w:r>
        <w:rPr>
          <w:rFonts w:ascii="FangSong_GB2312" w:hAnsi="FangSong_GB2312" w:eastAsia="FangSong_GB2312" w:cs="FangSong_GB2312"/>
          <w:kern w:val="0"/>
          <w:sz w:val="32"/>
          <w:szCs w:val="32"/>
          <w:u w:val="none"/>
        </w:rPr>
        <w:t>项目自评得分</w:t>
      </w:r>
      <w:r>
        <w:rPr>
          <w:rFonts w:hint="eastAsia"/>
          <w:kern w:val="0"/>
          <w:sz w:val="32"/>
          <w:szCs w:val="32"/>
          <w:u w:val="none"/>
          <w:lang w:val="en-US" w:eastAsia="zh-CN"/>
        </w:rPr>
        <w:t>93.56</w:t>
      </w:r>
      <w:r>
        <w:rPr>
          <w:rFonts w:ascii="FangSong_GB2312" w:hAnsi="FangSong_GB2312" w:eastAsia="FangSong_GB2312" w:cs="FangSong_GB2312"/>
          <w:kern w:val="0"/>
          <w:sz w:val="32"/>
          <w:szCs w:val="32"/>
          <w:u w:val="none"/>
        </w:rPr>
        <w:t>分。全年预算数为</w:t>
      </w:r>
      <w:r>
        <w:rPr>
          <w:rFonts w:hint="eastAsia"/>
          <w:kern w:val="0"/>
          <w:sz w:val="32"/>
          <w:szCs w:val="32"/>
          <w:u w:val="none"/>
          <w:lang w:val="en-US" w:eastAsia="zh-CN"/>
        </w:rPr>
        <w:t>10</w:t>
      </w:r>
      <w:r>
        <w:rPr>
          <w:rFonts w:ascii="FangSong_GB2312" w:hAnsi="FangSong_GB2312" w:eastAsia="FangSong_GB2312" w:cs="FangSong_GB2312"/>
          <w:kern w:val="0"/>
          <w:sz w:val="32"/>
          <w:szCs w:val="32"/>
          <w:u w:val="none"/>
        </w:rPr>
        <w:t>万元，执行数为</w:t>
      </w:r>
      <w:r>
        <w:rPr>
          <w:rFonts w:hint="eastAsia"/>
          <w:kern w:val="0"/>
          <w:sz w:val="32"/>
          <w:szCs w:val="32"/>
          <w:u w:val="none"/>
          <w:lang w:val="en-US" w:eastAsia="zh-CN"/>
        </w:rPr>
        <w:t>9.56</w:t>
      </w:r>
      <w:r>
        <w:rPr>
          <w:rFonts w:ascii="FangSong_GB2312" w:hAnsi="FangSong_GB2312" w:eastAsia="FangSong_GB2312" w:cs="FangSong_GB2312"/>
          <w:kern w:val="0"/>
          <w:sz w:val="32"/>
          <w:szCs w:val="32"/>
          <w:u w:val="none"/>
        </w:rPr>
        <w:t>万元，完成预算的</w:t>
      </w:r>
      <w:r>
        <w:rPr>
          <w:rFonts w:hint="eastAsia"/>
          <w:kern w:val="0"/>
          <w:sz w:val="32"/>
          <w:szCs w:val="32"/>
          <w:u w:val="none"/>
          <w:lang w:val="en-US" w:eastAsia="zh-CN"/>
        </w:rPr>
        <w:t>95.6</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。项目绩效目</w:t>
      </w:r>
      <w:r>
        <w:rPr>
          <w:rFonts w:ascii="FangSong_GB2312" w:hAnsi="FangSong_GB2312" w:eastAsia="FangSong_GB2312" w:cs="FangSong_GB2312"/>
          <w:kern w:val="0"/>
          <w:sz w:val="32"/>
          <w:szCs w:val="32"/>
        </w:rPr>
        <w:t>标完成情况：</w:t>
      </w:r>
      <w:r>
        <w:rPr>
          <w:rFonts w:hint="eastAsia" w:ascii="FangSong_GB2312" w:hAnsi="FangSong_GB2312" w:eastAsia="FangSong_GB2312" w:cs="FangSong_GB2312"/>
          <w:color w:val="auto"/>
          <w:kern w:val="0"/>
          <w:sz w:val="32"/>
          <w:szCs w:val="32"/>
        </w:rPr>
        <w:t>目标1：全市商品房预销售批准3438套，同比下降53.15%</w:t>
      </w:r>
      <w:r>
        <w:rPr>
          <w:rFonts w:hint="eastAsia" w:ascii="FangSong_GB2312" w:hAnsi="FangSong_GB2312" w:eastAsia="FangSong_GB2312" w:cs="FangSong_GB2312"/>
          <w:color w:val="auto"/>
          <w:kern w:val="0"/>
          <w:sz w:val="32"/>
          <w:szCs w:val="32"/>
          <w:lang w:eastAsia="zh-CN"/>
        </w:rPr>
        <w:t>。</w:t>
      </w:r>
      <w:r>
        <w:rPr>
          <w:rFonts w:hint="eastAsia" w:ascii="FangSong_GB2312" w:hAnsi="FangSong_GB2312" w:eastAsia="FangSong_GB2312" w:cs="FangSong_GB2312"/>
          <w:color w:val="auto"/>
          <w:kern w:val="0"/>
          <w:sz w:val="32"/>
          <w:szCs w:val="32"/>
        </w:rPr>
        <w:t>全市新建商品房网签套数7597套，同比下降13.94%。中心对42家房地产开发企业进行预售资金监管，共有商品房资金监管账户71个，受理资金拨付业务448笔。全市商品房预售资金监管总额30.13亿元，拨付资金28.7亿元，余额1.5亿元。目标2：房产测绘成果备案办接结30件，其中：实测14件、实测变更4件、预测10件、预测变更2件，房产测绘成果备案数据已上传房地产市场监管服务平台。目标3：全市新建商品房网签均价3200.24元/平方米，同比下降3.46%，其中：住宅网签均价3081.75元/平方米，同比上升1.81%。目标4：通过推进住宅物业服务全覆盖，巩固住宅物业服务全覆盖提品质三年攻坚行动，全市物业管理覆盖率达100%，专业化物业覆盖率89.84%，业委会（物管会）覆盖率95.3%；召开物业行业党委大会，增补调整党委委员并向各旗县区下发2025年工作计划协助局机关对物业小区飞线充电、占堵通道、违规停放等违法违规行为和重大安全隐患进行三轮全面排查，处理违规行为3614件。全市电动自行车充电桩安装小区1146个，安装充电桩7003个、充电端口75550个，安装小区覆盖率96.7%；开展物业服务履约不到位专项整治。完成了自治区物业监督一体化平台的信息录入启用，“物业马上办”二维码已全覆盖全市所有物业小区。目标5：恒大项目从2023年6月30日开始陆续向购房人交付房屋，截至2025年9月底，共有1500户领取钥匙，已办理不动产登记证246套。协助局机关草拟《全市“保交楼”“保交房”“入住难、回迁难”项目竣工验收及消防验收专项整治行动方案》，目前全市保交楼86个项目，24679套已全部完成销号。全市保交房项目共14个，1936套，其中：8个项目已交付，2个项目已办理竣工验收首次登记。</w:t>
      </w:r>
      <w:r>
        <w:rPr>
          <w:rFonts w:ascii="FangSong_GB2312" w:hAnsi="FangSong_GB2312" w:eastAsia="FangSong_GB2312" w:cs="FangSong_GB2312"/>
          <w:color w:val="auto"/>
          <w:kern w:val="0"/>
          <w:sz w:val="32"/>
          <w:szCs w:val="32"/>
        </w:rPr>
        <w:t>发现的主要问题及原因：</w:t>
      </w:r>
      <w:r>
        <w:rPr>
          <w:rFonts w:hint="eastAsia" w:ascii="Times New Roman Regular" w:hAnsi="Times New Roman Regular" w:eastAsia="仿宋" w:cs="Times New Roman Regular"/>
          <w:kern w:val="2"/>
          <w:sz w:val="32"/>
          <w:szCs w:val="32"/>
          <w:lang w:val="en-US" w:eastAsia="zh-CN"/>
        </w:rPr>
        <w:t>资金使用进度缓慢，造成资金年底的结余。</w:t>
      </w:r>
      <w:r>
        <w:rPr>
          <w:rFonts w:ascii="FangSong_GB2312" w:hAnsi="FangSong_GB2312" w:eastAsia="FangSong_GB2312" w:cs="FangSong_GB2312"/>
          <w:color w:val="auto"/>
          <w:kern w:val="0"/>
          <w:sz w:val="32"/>
          <w:szCs w:val="32"/>
        </w:rPr>
        <w:t>下一步改进措施：</w:t>
      </w:r>
      <w:r>
        <w:rPr>
          <w:rFonts w:ascii="仿宋" w:hAnsi="仿宋" w:eastAsia="仿宋" w:cs="仿宋"/>
          <w:sz w:val="32"/>
        </w:rPr>
        <w:t>对于年度资金结余，认真总结上一年度经验，及时完成各类审批手续。</w:t>
      </w:r>
    </w:p>
    <w:tbl>
      <w:tblPr>
        <w:tblStyle w:val="23"/>
        <w:tblpPr w:leftFromText="180" w:rightFromText="180" w:vertAnchor="text" w:horzAnchor="page" w:tblpX="400" w:tblpY="80"/>
        <w:tblOverlap w:val="never"/>
        <w:tblW w:w="112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715"/>
        <w:gridCol w:w="1215"/>
        <w:gridCol w:w="1115"/>
        <w:gridCol w:w="883"/>
        <w:gridCol w:w="616"/>
        <w:gridCol w:w="794"/>
        <w:gridCol w:w="866"/>
        <w:gridCol w:w="1049"/>
        <w:gridCol w:w="932"/>
        <w:gridCol w:w="950"/>
        <w:gridCol w:w="1200"/>
      </w:tblGrid>
      <w:tr w14:paraId="1B9C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259" w:type="dxa"/>
            <w:gridSpan w:val="12"/>
            <w:tcBorders>
              <w:top w:val="nil"/>
              <w:left w:val="nil"/>
              <w:bottom w:val="single" w:color="000000" w:sz="4" w:space="0"/>
              <w:right w:val="nil"/>
            </w:tcBorders>
            <w:shd w:val="clear" w:color="auto" w:fill="auto"/>
            <w:vAlign w:val="center"/>
          </w:tcPr>
          <w:p w14:paraId="4430BCF7">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63FCD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F7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96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5398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房屋产权交易业务费</w:t>
            </w:r>
          </w:p>
        </w:tc>
      </w:tr>
      <w:tr w14:paraId="2AF62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FF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8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738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巴彦淖尔市住房和城乡建设局（部门）</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F3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05A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巴彦淖尔市房屋产权交易中心</w:t>
            </w:r>
          </w:p>
        </w:tc>
      </w:tr>
      <w:tr w14:paraId="0CD99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3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B1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EF63">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8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BB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6B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1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3D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7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673A7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3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14BC8">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5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F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A0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DE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A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6A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F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9.56</w:t>
            </w:r>
          </w:p>
        </w:tc>
      </w:tr>
      <w:tr w14:paraId="4E1A2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63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1F3B5">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37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1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C7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72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355B">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A5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B068">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9ADA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3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4ADC3">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D9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D799">
            <w:pPr>
              <w:jc w:val="center"/>
              <w:rPr>
                <w:rFonts w:hint="eastAsia" w:ascii="宋体" w:hAnsi="宋体" w:eastAsia="宋体" w:cs="宋体"/>
                <w:i w:val="0"/>
                <w:iCs w:val="0"/>
                <w:color w:val="000000"/>
                <w:sz w:val="18"/>
                <w:szCs w:val="18"/>
                <w:u w:val="none"/>
              </w:rPr>
            </w:pP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A1680">
            <w:pPr>
              <w:jc w:val="center"/>
              <w:rPr>
                <w:rFonts w:hint="eastAsia" w:ascii="宋体" w:hAnsi="宋体" w:eastAsia="宋体" w:cs="宋体"/>
                <w:i w:val="0"/>
                <w:iCs w:val="0"/>
                <w:color w:val="000000"/>
                <w:sz w:val="18"/>
                <w:szCs w:val="18"/>
                <w:u w:val="none"/>
              </w:rPr>
            </w:pP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379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2307">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D74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A914">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1925A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3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6F56C">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F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7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FF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BD4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7129">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61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A29E">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6C737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3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AA8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6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52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5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B0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57088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0" w:hRule="atLeast"/>
        </w:trPr>
        <w:tc>
          <w:tcPr>
            <w:tcW w:w="163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779CF">
            <w:pPr>
              <w:jc w:val="center"/>
              <w:rPr>
                <w:rFonts w:hint="eastAsia" w:ascii="宋体" w:hAnsi="宋体" w:eastAsia="宋体" w:cs="宋体"/>
                <w:i w:val="0"/>
                <w:iCs w:val="0"/>
                <w:color w:val="000000"/>
                <w:sz w:val="18"/>
                <w:szCs w:val="18"/>
                <w:u w:val="none"/>
              </w:rPr>
            </w:pPr>
          </w:p>
        </w:tc>
        <w:tc>
          <w:tcPr>
            <w:tcW w:w="46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4D0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目标1:开展商品房、存量房资金监管业务</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 xml:space="preserve">                          目标2:临河地区房屋面积测绘成果备案工作</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 xml:space="preserve">                     目标3:建立新建商品房、存量房楼盘表建立以及房屋交易价格信息发布等；                                                     目标4:协助主管部门开展全市物业服务的业务指导工作</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 xml:space="preserve">  </w:t>
            </w:r>
            <w:r>
              <w:rPr>
                <w:rFonts w:hint="eastAsia" w:ascii="宋体" w:hAnsi="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 xml:space="preserve"> 目标5:完成市住房和城乡建设局交办的其他工作任务</w:t>
            </w:r>
            <w:r>
              <w:rPr>
                <w:rFonts w:hint="eastAsia" w:ascii="宋体" w:hAnsi="宋体" w:cs="宋体"/>
                <w:i w:val="0"/>
                <w:iCs w:val="0"/>
                <w:color w:val="000000"/>
                <w:kern w:val="0"/>
                <w:sz w:val="18"/>
                <w:szCs w:val="18"/>
                <w:u w:val="none"/>
                <w:lang w:val="en-US" w:eastAsia="zh-CN" w:bidi="ar"/>
              </w:rPr>
              <w:t>。</w:t>
            </w:r>
          </w:p>
        </w:tc>
        <w:tc>
          <w:tcPr>
            <w:tcW w:w="5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FE846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目标1：全市商品房预销售批准3438套，同比下降53.15%，其中：住宅预销售批准3200套，同比下降45.69%。全市新建商品房网签套数7597套，同比下降13.94%，其中：住宅网签套数6301套，同比下降10.34%。全市商品房累计可网签套数45571套。中心对42家房地产开发企业进行预售资金监管，共有商品房资金监管账户71个，受理资金拨付业务448笔。全市商品房预售资金监管总额30.13亿元，拨付资金28.7亿元，余额1.5亿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目标2：房产测绘成果备案办接结30件，其中：实测14件、实测变更4件、预测10件、预测变更2件，房产测绘成果备案数据已上传房地产市场监管服务平台。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目标3：全市新建商品房网签均价3200.24元/平方米，同比下降3.46%，其中：住宅网签均价3081.75元/平方米，同比上升1.81%。</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目标4：通过推进住宅物业服务全覆盖，巩固住宅物业服务全覆盖提品质三年攻坚行动，全市物业管理覆盖率达100%，专业化物业覆盖率89.84%，业委会（物管会）覆盖率95.3%；召开物业行业党委大会，增补调整党委委员并向各旗县区下发2025年工作计划协助局机关对物业小区飞线充电、占堵通道、违规停放等违法违规行为和重大安全隐患进行三轮全面排查，处理违规行为3614件。全市电动自行车充电桩安装小区1146个，安装充电桩7003个、充电端口75550个，安装小区覆盖率96.7%；开展物业服务履约不到位专项整治。推动物业小区设立“骑手驿站”，目前全市已有686个小区开始采用骑手便利措施，完成了自治区物业监督一体化平台的信息录入启用，“物业马上办”二维码已全覆盖全市所有物业小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目标5：恒大项目从2023年6月30日开始陆续向购房人交付房屋，截至2025年9月底，共有1500户领取钥匙，已办理不动产登记证246套。协助局机关草拟《全市“保交楼”“保交房”“入住难、回迁难”项目竣工验收及消防验收专项整治行动方案》，目前全市保交楼86个项目，24679套已全部完成销号。全市保交房项目共14个，1936套，其中：8个项目已交付，2个项目已办理竣工验收首次登记。按照住建部、自然资源部《关于对房地产已供土地和在建项目摸排工作的通知》要求，全市已在房地产信息采集系统上传246个项目信息，后续每月各旗县区需要在系统中更新信息。</w:t>
            </w:r>
          </w:p>
        </w:tc>
      </w:tr>
      <w:tr w14:paraId="6D475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0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E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C8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A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B8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1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C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9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A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F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6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E7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1AA6F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C1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4A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07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DB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发布业务信息</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F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E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9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7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C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期</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8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0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E5FB">
            <w:pPr>
              <w:jc w:val="center"/>
              <w:rPr>
                <w:rFonts w:hint="eastAsia" w:ascii="宋体" w:hAnsi="宋体" w:eastAsia="宋体" w:cs="宋体"/>
                <w:i w:val="0"/>
                <w:iCs w:val="0"/>
                <w:color w:val="000000"/>
                <w:sz w:val="18"/>
                <w:szCs w:val="18"/>
                <w:u w:val="none"/>
              </w:rPr>
            </w:pPr>
          </w:p>
        </w:tc>
      </w:tr>
      <w:tr w14:paraId="3B57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47A1D">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A4CA9">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CA703">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8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出差次数</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2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2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0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2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F0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4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A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ABA8">
            <w:pPr>
              <w:jc w:val="center"/>
              <w:rPr>
                <w:rFonts w:hint="eastAsia" w:ascii="宋体" w:hAnsi="宋体" w:eastAsia="宋体" w:cs="宋体"/>
                <w:i w:val="0"/>
                <w:iCs w:val="0"/>
                <w:color w:val="000000"/>
                <w:sz w:val="18"/>
                <w:szCs w:val="18"/>
                <w:u w:val="none"/>
              </w:rPr>
            </w:pPr>
          </w:p>
        </w:tc>
      </w:tr>
      <w:tr w14:paraId="770F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788A5">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42256">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A03B2">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6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参加培训次数</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7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B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5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6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9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D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4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4661">
            <w:pPr>
              <w:jc w:val="center"/>
              <w:rPr>
                <w:rFonts w:hint="eastAsia" w:ascii="宋体" w:hAnsi="宋体" w:eastAsia="宋体" w:cs="宋体"/>
                <w:i w:val="0"/>
                <w:iCs w:val="0"/>
                <w:color w:val="000000"/>
                <w:sz w:val="18"/>
                <w:szCs w:val="18"/>
                <w:u w:val="none"/>
              </w:rPr>
            </w:pPr>
          </w:p>
        </w:tc>
      </w:tr>
      <w:tr w14:paraId="568D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25A10">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49FAF">
            <w:pPr>
              <w:jc w:val="center"/>
              <w:rPr>
                <w:rFonts w:hint="eastAsia" w:ascii="宋体" w:hAnsi="宋体" w:eastAsia="宋体" w:cs="宋体"/>
                <w:i w:val="0"/>
                <w:iCs w:val="0"/>
                <w:color w:val="000000"/>
                <w:sz w:val="18"/>
                <w:szCs w:val="18"/>
                <w:u w:val="none"/>
              </w:rPr>
            </w:pP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ED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3B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首问告知率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7A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F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6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B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C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0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D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3971">
            <w:pPr>
              <w:jc w:val="center"/>
              <w:rPr>
                <w:rFonts w:hint="eastAsia" w:ascii="宋体" w:hAnsi="宋体" w:eastAsia="宋体" w:cs="宋体"/>
                <w:i w:val="0"/>
                <w:iCs w:val="0"/>
                <w:color w:val="000000"/>
                <w:sz w:val="18"/>
                <w:szCs w:val="18"/>
                <w:u w:val="none"/>
              </w:rPr>
            </w:pPr>
          </w:p>
        </w:tc>
      </w:tr>
      <w:tr w14:paraId="0923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29F28">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C6747">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2A08A">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8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限时办结率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0D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2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2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E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96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D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B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0C4E">
            <w:pPr>
              <w:jc w:val="center"/>
              <w:rPr>
                <w:rFonts w:hint="eastAsia" w:ascii="宋体" w:hAnsi="宋体" w:eastAsia="宋体" w:cs="宋体"/>
                <w:i w:val="0"/>
                <w:iCs w:val="0"/>
                <w:color w:val="000000"/>
                <w:sz w:val="18"/>
                <w:szCs w:val="18"/>
                <w:u w:val="none"/>
              </w:rPr>
            </w:pPr>
          </w:p>
        </w:tc>
      </w:tr>
      <w:tr w14:paraId="76A7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C6CBA">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9B905">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B5022">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BE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疑难案件集体审核率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8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98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5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F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5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7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6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4BAE">
            <w:pPr>
              <w:jc w:val="center"/>
              <w:rPr>
                <w:rFonts w:hint="eastAsia" w:ascii="宋体" w:hAnsi="宋体" w:eastAsia="宋体" w:cs="宋体"/>
                <w:i w:val="0"/>
                <w:iCs w:val="0"/>
                <w:color w:val="000000"/>
                <w:sz w:val="18"/>
                <w:szCs w:val="18"/>
                <w:u w:val="none"/>
              </w:rPr>
            </w:pPr>
          </w:p>
        </w:tc>
      </w:tr>
      <w:tr w14:paraId="3E2F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D73E3">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ECA14">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434AE">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A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业务投诉办结率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D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3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C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17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0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C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31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7A6D">
            <w:pPr>
              <w:jc w:val="center"/>
              <w:rPr>
                <w:rFonts w:hint="eastAsia" w:ascii="宋体" w:hAnsi="宋体" w:eastAsia="宋体" w:cs="宋体"/>
                <w:i w:val="0"/>
                <w:iCs w:val="0"/>
                <w:color w:val="000000"/>
                <w:sz w:val="18"/>
                <w:szCs w:val="18"/>
                <w:u w:val="none"/>
              </w:rPr>
            </w:pPr>
          </w:p>
        </w:tc>
      </w:tr>
      <w:tr w14:paraId="12F20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F8516">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34117">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33C8A">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2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业务流程公开程度</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D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8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B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E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E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C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0A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9839">
            <w:pPr>
              <w:jc w:val="center"/>
              <w:rPr>
                <w:rFonts w:hint="eastAsia" w:ascii="宋体" w:hAnsi="宋体" w:eastAsia="宋体" w:cs="宋体"/>
                <w:i w:val="0"/>
                <w:iCs w:val="0"/>
                <w:color w:val="000000"/>
                <w:sz w:val="18"/>
                <w:szCs w:val="18"/>
                <w:u w:val="none"/>
              </w:rPr>
            </w:pPr>
          </w:p>
        </w:tc>
      </w:tr>
      <w:tr w14:paraId="35B05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046FA">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E931C">
            <w:pPr>
              <w:jc w:val="center"/>
              <w:rPr>
                <w:rFonts w:hint="eastAsia" w:ascii="宋体" w:hAnsi="宋体" w:eastAsia="宋体" w:cs="宋体"/>
                <w:i w:val="0"/>
                <w:iCs w:val="0"/>
                <w:color w:val="000000"/>
                <w:sz w:val="18"/>
                <w:szCs w:val="18"/>
                <w:u w:val="none"/>
              </w:rPr>
            </w:pP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02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A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资金监管拨付审核</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E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A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9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B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0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A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3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B1AF">
            <w:pPr>
              <w:jc w:val="center"/>
              <w:rPr>
                <w:rFonts w:hint="eastAsia" w:ascii="宋体" w:hAnsi="宋体" w:eastAsia="宋体" w:cs="宋体"/>
                <w:i w:val="0"/>
                <w:iCs w:val="0"/>
                <w:color w:val="000000"/>
                <w:sz w:val="18"/>
                <w:szCs w:val="18"/>
                <w:u w:val="none"/>
              </w:rPr>
            </w:pPr>
          </w:p>
        </w:tc>
      </w:tr>
      <w:tr w14:paraId="64731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16F2D">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81690">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C9129">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8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房屋面积测绘备案</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A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0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5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2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C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D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4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FB39">
            <w:pPr>
              <w:jc w:val="center"/>
              <w:rPr>
                <w:rFonts w:hint="eastAsia" w:ascii="宋体" w:hAnsi="宋体" w:eastAsia="宋体" w:cs="宋体"/>
                <w:i w:val="0"/>
                <w:iCs w:val="0"/>
                <w:color w:val="000000"/>
                <w:sz w:val="18"/>
                <w:szCs w:val="18"/>
                <w:u w:val="none"/>
              </w:rPr>
            </w:pPr>
          </w:p>
        </w:tc>
      </w:tr>
      <w:tr w14:paraId="10EF0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2B0E1">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CA1FE">
            <w:pPr>
              <w:jc w:val="center"/>
              <w:rPr>
                <w:rFonts w:hint="eastAsia" w:ascii="宋体" w:hAnsi="宋体" w:eastAsia="宋体" w:cs="宋体"/>
                <w:i w:val="0"/>
                <w:iCs w:val="0"/>
                <w:color w:val="000000"/>
                <w:sz w:val="18"/>
                <w:szCs w:val="18"/>
                <w:u w:val="none"/>
              </w:rPr>
            </w:pP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2C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2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人均接待成本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3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B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1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D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E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元/次</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C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A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2237">
            <w:pPr>
              <w:jc w:val="center"/>
              <w:rPr>
                <w:rFonts w:hint="eastAsia" w:ascii="宋体" w:hAnsi="宋体" w:eastAsia="宋体" w:cs="宋体"/>
                <w:i w:val="0"/>
                <w:iCs w:val="0"/>
                <w:color w:val="000000"/>
                <w:sz w:val="18"/>
                <w:szCs w:val="18"/>
                <w:u w:val="none"/>
              </w:rPr>
            </w:pPr>
          </w:p>
        </w:tc>
      </w:tr>
      <w:tr w14:paraId="774E3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1C65A">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032C8">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EA36">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C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人均出差成本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7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C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E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6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B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元/日</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A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2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E93C">
            <w:pPr>
              <w:jc w:val="center"/>
              <w:rPr>
                <w:rFonts w:hint="eastAsia" w:ascii="宋体" w:hAnsi="宋体" w:eastAsia="宋体" w:cs="宋体"/>
                <w:i w:val="0"/>
                <w:iCs w:val="0"/>
                <w:color w:val="000000"/>
                <w:sz w:val="18"/>
                <w:szCs w:val="18"/>
                <w:u w:val="none"/>
              </w:rPr>
            </w:pPr>
          </w:p>
        </w:tc>
      </w:tr>
      <w:tr w14:paraId="79458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6E64F">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C1911">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AD901">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7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人均培训成本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3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6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0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7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BE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元/次</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0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5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EF38">
            <w:pPr>
              <w:jc w:val="center"/>
              <w:rPr>
                <w:rFonts w:hint="eastAsia" w:ascii="宋体" w:hAnsi="宋体" w:eastAsia="宋体" w:cs="宋体"/>
                <w:i w:val="0"/>
                <w:iCs w:val="0"/>
                <w:color w:val="000000"/>
                <w:sz w:val="18"/>
                <w:szCs w:val="18"/>
                <w:u w:val="none"/>
              </w:rPr>
            </w:pPr>
          </w:p>
        </w:tc>
      </w:tr>
      <w:tr w14:paraId="526B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D88CF">
            <w:pPr>
              <w:jc w:val="center"/>
              <w:rPr>
                <w:rFonts w:hint="eastAsia" w:ascii="宋体" w:hAnsi="宋体" w:eastAsia="宋体" w:cs="宋体"/>
                <w:i w:val="0"/>
                <w:iCs w:val="0"/>
                <w:color w:val="000000"/>
                <w:sz w:val="18"/>
                <w:szCs w:val="18"/>
                <w:u w:val="none"/>
              </w:rPr>
            </w:pP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D3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FFD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F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行政服务效能</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A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8CDC">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2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0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3D3A">
            <w:pPr>
              <w:jc w:val="center"/>
              <w:rPr>
                <w:rFonts w:hint="eastAsia" w:ascii="宋体" w:hAnsi="宋体" w:eastAsia="宋体" w:cs="宋体"/>
                <w:i w:val="0"/>
                <w:iCs w:val="0"/>
                <w:color w:val="000000"/>
                <w:sz w:val="18"/>
                <w:szCs w:val="18"/>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0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A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D25C">
            <w:pPr>
              <w:jc w:val="center"/>
              <w:rPr>
                <w:rFonts w:hint="eastAsia" w:ascii="宋体" w:hAnsi="宋体" w:eastAsia="宋体" w:cs="宋体"/>
                <w:i w:val="0"/>
                <w:iCs w:val="0"/>
                <w:color w:val="000000"/>
                <w:sz w:val="18"/>
                <w:szCs w:val="18"/>
                <w:u w:val="none"/>
              </w:rPr>
            </w:pPr>
          </w:p>
        </w:tc>
      </w:tr>
      <w:tr w14:paraId="170C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8892B">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65AF6">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7987E">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A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房屋交易监管</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4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97EC">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7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更加规范</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6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更加规范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9F2A">
            <w:pPr>
              <w:jc w:val="center"/>
              <w:rPr>
                <w:rFonts w:hint="eastAsia" w:ascii="宋体" w:hAnsi="宋体" w:eastAsia="宋体" w:cs="宋体"/>
                <w:i w:val="0"/>
                <w:iCs w:val="0"/>
                <w:color w:val="000000"/>
                <w:sz w:val="18"/>
                <w:szCs w:val="18"/>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E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1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BAA7">
            <w:pPr>
              <w:jc w:val="center"/>
              <w:rPr>
                <w:rFonts w:hint="eastAsia" w:ascii="宋体" w:hAnsi="宋体" w:eastAsia="宋体" w:cs="宋体"/>
                <w:i w:val="0"/>
                <w:iCs w:val="0"/>
                <w:color w:val="000000"/>
                <w:sz w:val="18"/>
                <w:szCs w:val="18"/>
                <w:u w:val="none"/>
              </w:rPr>
            </w:pPr>
          </w:p>
        </w:tc>
      </w:tr>
      <w:tr w14:paraId="2F1AC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2595B">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284CD">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ECABD">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C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业务服务水平</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C5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1B95">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D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B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B5DD3">
            <w:pPr>
              <w:jc w:val="center"/>
              <w:rPr>
                <w:rFonts w:hint="eastAsia" w:ascii="宋体" w:hAnsi="宋体" w:eastAsia="宋体" w:cs="宋体"/>
                <w:i w:val="0"/>
                <w:iCs w:val="0"/>
                <w:color w:val="000000"/>
                <w:sz w:val="18"/>
                <w:szCs w:val="18"/>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A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1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DB91">
            <w:pPr>
              <w:jc w:val="center"/>
              <w:rPr>
                <w:rFonts w:hint="eastAsia" w:ascii="宋体" w:hAnsi="宋体" w:eastAsia="宋体" w:cs="宋体"/>
                <w:i w:val="0"/>
                <w:iCs w:val="0"/>
                <w:color w:val="000000"/>
                <w:sz w:val="18"/>
                <w:szCs w:val="18"/>
                <w:u w:val="none"/>
              </w:rPr>
            </w:pPr>
          </w:p>
        </w:tc>
      </w:tr>
      <w:tr w14:paraId="4CCBB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A5A0A">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D7895">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C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C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房屋交易便捷安全保障可持续性</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2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0638">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1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7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F3C9">
            <w:pPr>
              <w:jc w:val="center"/>
              <w:rPr>
                <w:rFonts w:hint="eastAsia" w:ascii="宋体" w:hAnsi="宋体" w:eastAsia="宋体" w:cs="宋体"/>
                <w:i w:val="0"/>
                <w:iCs w:val="0"/>
                <w:color w:val="000000"/>
                <w:sz w:val="18"/>
                <w:szCs w:val="18"/>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4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F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9529">
            <w:pPr>
              <w:jc w:val="center"/>
              <w:rPr>
                <w:rFonts w:hint="eastAsia" w:ascii="宋体" w:hAnsi="宋体" w:eastAsia="宋体" w:cs="宋体"/>
                <w:i w:val="0"/>
                <w:iCs w:val="0"/>
                <w:color w:val="000000"/>
                <w:sz w:val="18"/>
                <w:szCs w:val="18"/>
                <w:u w:val="none"/>
              </w:rPr>
            </w:pPr>
          </w:p>
        </w:tc>
      </w:tr>
      <w:tr w14:paraId="6C7E9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7B859">
            <w:pPr>
              <w:jc w:val="center"/>
              <w:rPr>
                <w:rFonts w:hint="eastAsia" w:ascii="宋体" w:hAnsi="宋体" w:eastAsia="宋体" w:cs="宋体"/>
                <w:i w:val="0"/>
                <w:iCs w:val="0"/>
                <w:color w:val="000000"/>
                <w:sz w:val="18"/>
                <w:szCs w:val="18"/>
                <w:u w:val="none"/>
              </w:rPr>
            </w:pP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A4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B0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1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主管部门满意度</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3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7D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9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4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3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7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F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7013">
            <w:pPr>
              <w:jc w:val="center"/>
              <w:rPr>
                <w:rFonts w:hint="eastAsia" w:ascii="宋体" w:hAnsi="宋体" w:eastAsia="宋体" w:cs="宋体"/>
                <w:i w:val="0"/>
                <w:iCs w:val="0"/>
                <w:color w:val="000000"/>
                <w:sz w:val="18"/>
                <w:szCs w:val="18"/>
                <w:u w:val="none"/>
              </w:rPr>
            </w:pPr>
          </w:p>
        </w:tc>
      </w:tr>
      <w:tr w14:paraId="03A8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EC02B">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923F">
            <w:pPr>
              <w:jc w:val="center"/>
              <w:rPr>
                <w:rFonts w:hint="eastAsia" w:ascii="宋体" w:hAnsi="宋体" w:eastAsia="宋体" w:cs="宋体"/>
                <w:i w:val="0"/>
                <w:iCs w:val="0"/>
                <w:color w:val="000000"/>
                <w:sz w:val="18"/>
                <w:szCs w:val="18"/>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BC113">
            <w:pPr>
              <w:jc w:val="center"/>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4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社会公众满意度</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6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B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4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9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7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8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B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EE14">
            <w:pPr>
              <w:jc w:val="center"/>
              <w:rPr>
                <w:rFonts w:hint="eastAsia" w:ascii="宋体" w:hAnsi="宋体" w:eastAsia="宋体" w:cs="宋体"/>
                <w:i w:val="0"/>
                <w:iCs w:val="0"/>
                <w:color w:val="000000"/>
                <w:sz w:val="18"/>
                <w:szCs w:val="18"/>
                <w:u w:val="none"/>
              </w:rPr>
            </w:pPr>
          </w:p>
        </w:tc>
      </w:tr>
      <w:tr w14:paraId="31FCE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17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9A9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7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E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93.56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0664">
            <w:pPr>
              <w:jc w:val="center"/>
              <w:rPr>
                <w:rFonts w:hint="eastAsia" w:ascii="宋体" w:hAnsi="宋体" w:eastAsia="宋体" w:cs="宋体"/>
                <w:i w:val="0"/>
                <w:iCs w:val="0"/>
                <w:color w:val="000000"/>
                <w:sz w:val="18"/>
                <w:szCs w:val="18"/>
                <w:u w:val="none"/>
              </w:rPr>
            </w:pPr>
          </w:p>
        </w:tc>
      </w:tr>
    </w:tbl>
    <w:p w14:paraId="62E0006F">
      <w:pPr>
        <w:pStyle w:val="33"/>
        <w:widowControl/>
        <w:spacing w:before="240" w:after="240"/>
        <w:ind w:firstLine="643" w:firstLineChars="200"/>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7E7E2BB2">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以</w:t>
      </w:r>
      <w:r>
        <w:rPr>
          <w:rFonts w:hint="eastAsia" w:ascii="仿宋_GB2312" w:hAnsi="仿宋_GB2312" w:eastAsia="仿宋_GB2312" w:cs="仿宋_GB2312"/>
          <w:kern w:val="2"/>
          <w:sz w:val="32"/>
          <w:lang w:eastAsia="zh-CN"/>
        </w:rPr>
        <w:t>房屋产权交易业务费</w:t>
      </w:r>
      <w:r>
        <w:rPr>
          <w:rFonts w:ascii="FangSong_GB2312" w:hAnsi="FangSong_GB2312" w:eastAsia="FangSong_GB2312" w:cs="FangSong_GB2312"/>
          <w:kern w:val="0"/>
          <w:sz w:val="32"/>
          <w:szCs w:val="32"/>
        </w:rPr>
        <w:t>项目为例，该项目绩效评价综合得分为</w:t>
      </w:r>
      <w:r>
        <w:rPr>
          <w:rFonts w:hint="eastAsia" w:ascii="仿宋_GB2312" w:hAnsi="仿宋_GB2312" w:eastAsia="仿宋_GB2312" w:cs="仿宋_GB2312"/>
          <w:color w:val="auto"/>
          <w:kern w:val="0"/>
          <w:sz w:val="32"/>
          <w:szCs w:val="32"/>
          <w:u w:val="none"/>
          <w:lang w:val="en-US" w:eastAsia="zh-CN"/>
        </w:rPr>
        <w:t>93.56</w:t>
      </w:r>
      <w:r>
        <w:rPr>
          <w:rFonts w:ascii="FangSong_GB2312" w:hAnsi="FangSong_GB2312" w:eastAsia="FangSong_GB2312" w:cs="FangSong_GB2312"/>
          <w:kern w:val="0"/>
          <w:sz w:val="32"/>
          <w:szCs w:val="32"/>
        </w:rPr>
        <w:t>分，绩效评价结果为“优</w:t>
      </w:r>
      <w:r>
        <w:rPr>
          <w:rFonts w:hint="eastAsia" w:ascii="FangSong_GB2312" w:hAnsi="FangSong_GB2312" w:eastAsia="FangSong_GB2312" w:cs="FangSong_GB2312"/>
          <w:kern w:val="0"/>
          <w:sz w:val="32"/>
          <w:szCs w:val="32"/>
          <w:lang w:eastAsia="zh-CN"/>
        </w:rPr>
        <w:t>”。</w:t>
      </w:r>
      <w:r>
        <w:rPr>
          <w:rFonts w:hint="default" w:ascii="Times New Roman" w:hAnsi="Times New Roman" w:eastAsia="仿宋_GB2312" w:cs="Times New Roman"/>
          <w:b w:val="0"/>
          <w:bCs w:val="0"/>
          <w:sz w:val="32"/>
          <w:szCs w:val="32"/>
          <w:highlight w:val="none"/>
          <w:u w:val="none"/>
        </w:rPr>
        <w:t>重点项目绩效评价得分情况</w:t>
      </w:r>
      <w:r>
        <w:rPr>
          <w:rFonts w:hint="default" w:ascii="Times New Roman" w:hAnsi="Times New Roman" w:eastAsia="仿宋_GB2312" w:cs="Times New Roman"/>
          <w:b w:val="0"/>
          <w:bCs w:val="0"/>
          <w:sz w:val="32"/>
          <w:szCs w:val="32"/>
          <w:highlight w:val="none"/>
          <w:u w:val="none"/>
          <w:lang w:val="en-US" w:eastAsia="zh-CN"/>
        </w:rPr>
        <w:t>如下</w:t>
      </w:r>
      <w:r>
        <w:rPr>
          <w:rFonts w:hint="default" w:ascii="Times New Roman" w:hAnsi="Times New Roman" w:eastAsia="仿宋_GB2312" w:cs="Times New Roman"/>
          <w:b w:val="0"/>
          <w:bCs w:val="0"/>
          <w:sz w:val="32"/>
          <w:szCs w:val="32"/>
          <w:highlight w:val="none"/>
          <w:u w:val="none"/>
        </w:rPr>
        <w:t>。</w:t>
      </w:r>
    </w:p>
    <w:p w14:paraId="5BBE710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1.产出指标完成情况</w:t>
      </w:r>
    </w:p>
    <w:p w14:paraId="2C4CDC9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（1）数量指标</w:t>
      </w:r>
    </w:p>
    <w:p w14:paraId="587F042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1）发布业务信息(期)，</w:t>
      </w:r>
      <w:r>
        <w:rPr>
          <w:rFonts w:hint="eastAsia" w:ascii="仿宋_GB2312" w:hAnsi="仿宋_GB2312" w:eastAsia="仿宋_GB2312" w:cs="仿宋_GB2312"/>
          <w:kern w:val="2"/>
          <w:sz w:val="32"/>
          <w:szCs w:val="32"/>
        </w:rPr>
        <w:t>目标值12，完成值25，分值5，得分5。</w:t>
      </w:r>
    </w:p>
    <w:p w14:paraId="609E1BC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2）出差次数(次)，</w:t>
      </w:r>
      <w:r>
        <w:rPr>
          <w:rFonts w:hint="eastAsia" w:ascii="仿宋_GB2312" w:hAnsi="仿宋_GB2312" w:eastAsia="仿宋_GB2312" w:cs="仿宋_GB2312"/>
          <w:kern w:val="2"/>
          <w:sz w:val="32"/>
          <w:szCs w:val="32"/>
        </w:rPr>
        <w:t>目标值10，完成值12，分值5，得分5。</w:t>
      </w:r>
    </w:p>
    <w:p w14:paraId="4DC4A5E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3）参加培训次数(次)，</w:t>
      </w:r>
      <w:r>
        <w:rPr>
          <w:rFonts w:hint="eastAsia" w:ascii="仿宋_GB2312" w:hAnsi="仿宋_GB2312" w:eastAsia="仿宋_GB2312" w:cs="仿宋_GB2312"/>
          <w:kern w:val="2"/>
          <w:sz w:val="32"/>
          <w:szCs w:val="32"/>
        </w:rPr>
        <w:t>目标值12，完成值21，分值5，得分5。</w:t>
      </w:r>
    </w:p>
    <w:p w14:paraId="1388727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（2）质量指标</w:t>
      </w:r>
    </w:p>
    <w:p w14:paraId="36E6EEF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1）首问告知率(百分比)，</w:t>
      </w:r>
      <w:r>
        <w:rPr>
          <w:rFonts w:hint="eastAsia" w:ascii="仿宋_GB2312" w:hAnsi="仿宋_GB2312" w:eastAsia="仿宋_GB2312" w:cs="仿宋_GB2312"/>
          <w:kern w:val="2"/>
          <w:sz w:val="32"/>
          <w:szCs w:val="32"/>
        </w:rPr>
        <w:t>目标值100，完成值100，分值3，得分3。</w:t>
      </w:r>
    </w:p>
    <w:p w14:paraId="0BD6562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2）限时办结率(百分比)，</w:t>
      </w:r>
      <w:r>
        <w:rPr>
          <w:rFonts w:hint="eastAsia" w:ascii="仿宋_GB2312" w:hAnsi="仿宋_GB2312" w:eastAsia="仿宋_GB2312" w:cs="仿宋_GB2312"/>
          <w:kern w:val="2"/>
          <w:sz w:val="32"/>
          <w:szCs w:val="32"/>
        </w:rPr>
        <w:t>目标值100，完成值100，分值3，得分3。</w:t>
      </w:r>
    </w:p>
    <w:p w14:paraId="13C17EF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3）疑难案件集体审核率(百分比)，</w:t>
      </w:r>
      <w:r>
        <w:rPr>
          <w:rFonts w:hint="eastAsia" w:ascii="仿宋_GB2312" w:hAnsi="仿宋_GB2312" w:eastAsia="仿宋_GB2312" w:cs="仿宋_GB2312"/>
          <w:kern w:val="2"/>
          <w:sz w:val="32"/>
          <w:szCs w:val="32"/>
        </w:rPr>
        <w:t>目标值100，完成值100，分值3，得分3。</w:t>
      </w:r>
    </w:p>
    <w:p w14:paraId="6691C74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4）业务投诉办结率(百分比)，</w:t>
      </w:r>
      <w:r>
        <w:rPr>
          <w:rFonts w:hint="eastAsia" w:ascii="仿宋_GB2312" w:hAnsi="仿宋_GB2312" w:eastAsia="仿宋_GB2312" w:cs="仿宋_GB2312"/>
          <w:kern w:val="2"/>
          <w:sz w:val="32"/>
          <w:szCs w:val="32"/>
        </w:rPr>
        <w:t>目标值100，完成值100，分值3，得分3。</w:t>
      </w:r>
    </w:p>
    <w:p w14:paraId="726085F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5）业务流程公开程度(百分比)，</w:t>
      </w:r>
      <w:r>
        <w:rPr>
          <w:rFonts w:hint="eastAsia" w:ascii="仿宋_GB2312" w:hAnsi="仿宋_GB2312" w:eastAsia="仿宋_GB2312" w:cs="仿宋_GB2312"/>
          <w:kern w:val="2"/>
          <w:sz w:val="32"/>
          <w:szCs w:val="32"/>
        </w:rPr>
        <w:t>目标值100，完成值100，分值3，得分3。</w:t>
      </w:r>
    </w:p>
    <w:p w14:paraId="3BB6382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（3）时效指标</w:t>
      </w:r>
    </w:p>
    <w:p w14:paraId="78DDAB8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1）资金监管拨付审核(日)，</w:t>
      </w:r>
      <w:r>
        <w:rPr>
          <w:rFonts w:hint="eastAsia" w:ascii="仿宋_GB2312" w:hAnsi="仿宋_GB2312" w:eastAsia="仿宋_GB2312" w:cs="仿宋_GB2312"/>
          <w:kern w:val="2"/>
          <w:sz w:val="32"/>
          <w:szCs w:val="32"/>
        </w:rPr>
        <w:t>目标值3，完成值3，分值5，得分5。</w:t>
      </w:r>
    </w:p>
    <w:p w14:paraId="1FF3D3E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2）房屋面积测绘备案(日)，</w:t>
      </w:r>
      <w:r>
        <w:rPr>
          <w:rFonts w:hint="eastAsia" w:ascii="仿宋_GB2312" w:hAnsi="仿宋_GB2312" w:eastAsia="仿宋_GB2312" w:cs="仿宋_GB2312"/>
          <w:kern w:val="2"/>
          <w:sz w:val="32"/>
          <w:szCs w:val="32"/>
        </w:rPr>
        <w:t>目标值3，完成值2，分值5，得分5。</w:t>
      </w:r>
    </w:p>
    <w:p w14:paraId="3F7FBFD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（4）成本指标</w:t>
      </w:r>
    </w:p>
    <w:p w14:paraId="5EF2F34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1）人均接待成本(元/次)，</w:t>
      </w:r>
      <w:r>
        <w:rPr>
          <w:rFonts w:hint="eastAsia" w:ascii="仿宋_GB2312" w:hAnsi="仿宋_GB2312" w:eastAsia="仿宋_GB2312" w:cs="仿宋_GB2312"/>
          <w:kern w:val="2"/>
          <w:sz w:val="32"/>
          <w:szCs w:val="32"/>
        </w:rPr>
        <w:t>目标值110，完成值110，分值4，得分4。</w:t>
      </w:r>
    </w:p>
    <w:p w14:paraId="1F5C979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2）人均出差成本(元/日)，</w:t>
      </w:r>
      <w:r>
        <w:rPr>
          <w:rFonts w:hint="eastAsia" w:ascii="仿宋_GB2312" w:hAnsi="仿宋_GB2312" w:eastAsia="仿宋_GB2312" w:cs="仿宋_GB2312"/>
          <w:kern w:val="2"/>
          <w:sz w:val="32"/>
          <w:szCs w:val="32"/>
        </w:rPr>
        <w:t>目标值550，完成值351，分值3，得分3。</w:t>
      </w:r>
    </w:p>
    <w:p w14:paraId="69032DD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3）人均培训成本(元/次)，</w:t>
      </w:r>
      <w:r>
        <w:rPr>
          <w:rFonts w:hint="eastAsia" w:ascii="仿宋_GB2312" w:hAnsi="仿宋_GB2312" w:eastAsia="仿宋_GB2312" w:cs="仿宋_GB2312"/>
          <w:kern w:val="2"/>
          <w:sz w:val="32"/>
          <w:szCs w:val="32"/>
        </w:rPr>
        <w:t>目标值580，完成值175，分值3，得分3。</w:t>
      </w:r>
    </w:p>
    <w:p w14:paraId="7C62159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2.效益指标完成情况</w:t>
      </w:r>
    </w:p>
    <w:p w14:paraId="1275B75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（5）社会效益指标</w:t>
      </w:r>
    </w:p>
    <w:p w14:paraId="73E85B6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1）行政服务效能，</w:t>
      </w:r>
      <w:r>
        <w:rPr>
          <w:rFonts w:hint="eastAsia" w:ascii="仿宋_GB2312" w:hAnsi="仿宋_GB2312" w:eastAsia="仿宋_GB2312" w:cs="仿宋_GB2312"/>
          <w:kern w:val="2"/>
          <w:sz w:val="32"/>
          <w:szCs w:val="32"/>
        </w:rPr>
        <w:t>目标值有所提高，完成值有所提高，分值7，得分6。</w:t>
      </w:r>
    </w:p>
    <w:p w14:paraId="1459B11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2）房屋交易监管，</w:t>
      </w:r>
      <w:r>
        <w:rPr>
          <w:rFonts w:hint="eastAsia" w:ascii="仿宋_GB2312" w:hAnsi="仿宋_GB2312" w:eastAsia="仿宋_GB2312" w:cs="仿宋_GB2312"/>
          <w:kern w:val="2"/>
          <w:sz w:val="32"/>
          <w:szCs w:val="32"/>
        </w:rPr>
        <w:t>目标值更加规范，完成值更加规范，分值8，得分6。</w:t>
      </w:r>
    </w:p>
    <w:p w14:paraId="484A87F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3）业务服务水平，</w:t>
      </w:r>
      <w:r>
        <w:rPr>
          <w:rFonts w:hint="eastAsia" w:ascii="仿宋_GB2312" w:hAnsi="仿宋_GB2312" w:eastAsia="仿宋_GB2312" w:cs="仿宋_GB2312"/>
          <w:kern w:val="2"/>
          <w:sz w:val="32"/>
          <w:szCs w:val="32"/>
        </w:rPr>
        <w:t>目标值有所提高，完成值有所提高，分值8，得分6。</w:t>
      </w:r>
    </w:p>
    <w:p w14:paraId="71FC436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（6）可持续影响指标</w:t>
      </w:r>
    </w:p>
    <w:p w14:paraId="601AF9B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1）房屋交易便捷安全保障可持续性，</w:t>
      </w:r>
      <w:r>
        <w:rPr>
          <w:rFonts w:hint="eastAsia" w:ascii="仿宋_GB2312" w:hAnsi="仿宋_GB2312" w:eastAsia="仿宋_GB2312" w:cs="仿宋_GB2312"/>
          <w:kern w:val="2"/>
          <w:sz w:val="32"/>
          <w:szCs w:val="32"/>
        </w:rPr>
        <w:t>目标值长期，完成值长期，分值7，得分6。</w:t>
      </w:r>
    </w:p>
    <w:p w14:paraId="142DC05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3.满意度指标完成情况</w:t>
      </w:r>
    </w:p>
    <w:p w14:paraId="6E2E0EB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（7）服务对象满意度指标</w:t>
      </w:r>
    </w:p>
    <w:p w14:paraId="4501A88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1）主管部门满意度(百分比)，</w:t>
      </w:r>
      <w:r>
        <w:rPr>
          <w:rFonts w:hint="eastAsia" w:ascii="仿宋_GB2312" w:hAnsi="仿宋_GB2312" w:eastAsia="仿宋_GB2312" w:cs="仿宋_GB2312"/>
          <w:kern w:val="2"/>
          <w:sz w:val="32"/>
          <w:szCs w:val="32"/>
        </w:rPr>
        <w:t>目标值90，完成值95，分值5，得分5。</w:t>
      </w:r>
    </w:p>
    <w:p w14:paraId="44ECF90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sz w:val="32"/>
        </w:rPr>
        <w:t>2）社会公众满意度(百分比)，</w:t>
      </w:r>
      <w:r>
        <w:rPr>
          <w:rFonts w:hint="eastAsia" w:ascii="仿宋_GB2312" w:hAnsi="仿宋_GB2312" w:eastAsia="仿宋_GB2312" w:cs="仿宋_GB2312"/>
          <w:kern w:val="2"/>
          <w:sz w:val="32"/>
          <w:szCs w:val="32"/>
        </w:rPr>
        <w:t>目标值90，完成值93，分值5，得分5。</w:t>
      </w:r>
    </w:p>
    <w:p w14:paraId="22FB1B9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4. 自评得分情况</w:t>
      </w:r>
    </w:p>
    <w:p w14:paraId="3F012BA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eastAsia" w:ascii="仿宋_GB2312" w:hAnsi="仿宋_GB2312" w:eastAsia="仿宋_GB2312" w:cs="仿宋_GB2312"/>
          <w:kern w:val="2"/>
          <w:sz w:val="32"/>
          <w:szCs w:val="32"/>
        </w:rPr>
        <w:t>本项目绩效自评得分93.56分，等级为优</w:t>
      </w:r>
      <w:r>
        <w:rPr>
          <w:rFonts w:hint="eastAsia" w:ascii="仿宋_GB2312" w:hAnsi="仿宋_GB2312" w:eastAsia="仿宋_GB2312" w:cs="仿宋_GB2312"/>
          <w:kern w:val="2"/>
          <w:sz w:val="32"/>
          <w:szCs w:val="32"/>
          <w:lang w:eastAsia="zh-CN"/>
        </w:rPr>
        <w:t>。</w:t>
      </w:r>
    </w:p>
    <w:p w14:paraId="72CD835D">
      <w:pPr>
        <w:pStyle w:val="33"/>
        <w:widowControl/>
        <w:spacing w:before="240" w:after="240"/>
        <w:ind w:firstLine="643" w:firstLineChars="200"/>
        <w:jc w:val="left"/>
        <w:rPr>
          <w:rFonts w:ascii="Times New Roman" w:hAnsi="Times New Roman" w:eastAsia="Times New Roman" w:cs="Times New Roman"/>
          <w:kern w:val="0"/>
          <w:sz w:val="24"/>
        </w:rPr>
      </w:pPr>
      <w:r>
        <w:rPr>
          <w:rFonts w:ascii="楷体" w:hAnsi="楷体" w:eastAsia="楷体" w:cs="楷体"/>
          <w:b/>
          <w:bCs/>
          <w:kern w:val="0"/>
          <w:sz w:val="32"/>
          <w:szCs w:val="32"/>
        </w:rPr>
        <w:t>（四）单位预算绩效管理制度和核心绩效指标标准体系建设情况。</w:t>
      </w:r>
    </w:p>
    <w:p w14:paraId="16D82128">
      <w:pPr>
        <w:keepNext w:val="0"/>
        <w:keepLines w:val="0"/>
        <w:pageBreakBefore w:val="0"/>
        <w:widowControl/>
        <w:kinsoku/>
        <w:wordWrap/>
        <w:overflowPunct/>
        <w:topLinePunct w:val="0"/>
        <w:autoSpaceDE/>
        <w:autoSpaceDN/>
        <w:bidi w:val="0"/>
        <w:adjustRightInd/>
        <w:snapToGrid/>
        <w:spacing w:before="240" w:after="240" w:line="560" w:lineRule="exact"/>
        <w:ind w:firstLine="643" w:firstLineChars="200"/>
        <w:jc w:val="both"/>
        <w:textAlignment w:val="auto"/>
        <w:rPr>
          <w:rFonts w:hint="eastAsia" w:ascii="黑体" w:hAnsi="黑体" w:eastAsia="黑体" w:cs="黑体"/>
          <w:b/>
          <w:bCs/>
          <w:color w:val="auto"/>
          <w:kern w:val="0"/>
          <w:sz w:val="32"/>
          <w:szCs w:val="32"/>
          <w:lang w:val="en-US" w:eastAsia="zh-CN"/>
        </w:rPr>
      </w:pPr>
      <w:r>
        <w:rPr>
          <w:rFonts w:hint="eastAsia" w:ascii="黑体" w:hAnsi="黑体" w:eastAsia="黑体" w:cs="黑体"/>
          <w:b/>
          <w:bCs/>
          <w:color w:val="auto"/>
          <w:kern w:val="0"/>
          <w:sz w:val="32"/>
          <w:szCs w:val="32"/>
          <w:lang w:val="en-US" w:eastAsia="zh-CN"/>
        </w:rPr>
        <w:t>1、单位预算绩效管理制度情况</w:t>
      </w:r>
    </w:p>
    <w:p w14:paraId="07F0D3F6">
      <w:pPr>
        <w:pStyle w:val="37"/>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为深入贯彻落实全面实施预算绩效管理各项工作要求，加快构建全方位、全过程、全覆盖预算绩效管理体系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巴彦淖尔市房屋产权交易中心扎实推进预算绩效管理制度建设，持续完善核心绩效指标标准体系，推动预算和绩效管理深度融合，实现资金使用效益与政务服务效能同步提升。近年来，中心坚持“花钱必问效、无效必问责”理念，以预算一体化系统为支撑，健全绩效工作机制，将绩效管理贯穿预算编制、执行、监督全过程，实现所有项目支出绩效目标管理全覆盖，稳步推进预算绩效管理制度化、指标体系标准化建设。</w:t>
      </w:r>
    </w:p>
    <w:p w14:paraId="00750BF1">
      <w:pPr>
        <w:pStyle w:val="37"/>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执行《巴彦淖尔市关于全面实施预算绩效管理的实施意见》《巴彦淖尔市预算绩效管理工作考核办法》等上级制度规定，落实事前绩效评估、绩效目标管理、绩效运行监控、绩效评价流程管理。中心尚未单独制定本级预算绩效管理专项制度，绩效管理工作主要依托市住建局、市财政局相关制度开展，内部绩效管理操作规程不够细化，绩效责任划分、业务科室绩效工作考核等内部配套制度有待进一步完善。</w:t>
      </w:r>
    </w:p>
    <w:p w14:paraId="21D4BD1F">
      <w:pPr>
        <w:pStyle w:val="5"/>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2、</w:t>
      </w:r>
      <w:r>
        <w:rPr>
          <w:rFonts w:hint="eastAsia" w:ascii="黑体" w:hAnsi="黑体" w:eastAsia="黑体" w:cs="黑体"/>
          <w:sz w:val="32"/>
          <w:szCs w:val="32"/>
        </w:rPr>
        <w:t>核心绩效指标标准体系建设情况</w:t>
      </w:r>
    </w:p>
    <w:p w14:paraId="64C12A4B">
      <w:pPr>
        <w:pStyle w:val="37"/>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中心绩效指标体系</w:t>
      </w:r>
      <w:r>
        <w:rPr>
          <w:rFonts w:hint="eastAsia" w:ascii="仿宋_GB2312" w:hAnsi="仿宋_GB2312" w:eastAsia="仿宋_GB2312" w:cs="仿宋_GB2312"/>
          <w:sz w:val="32"/>
          <w:szCs w:val="32"/>
          <w:lang w:val="en-US" w:eastAsia="zh-CN"/>
        </w:rPr>
        <w:t>主要是</w:t>
      </w:r>
      <w:r>
        <w:rPr>
          <w:rFonts w:hint="eastAsia" w:ascii="仿宋_GB2312" w:hAnsi="仿宋_GB2312" w:eastAsia="仿宋_GB2312" w:cs="仿宋_GB2312"/>
          <w:sz w:val="32"/>
          <w:szCs w:val="32"/>
        </w:rPr>
        <w:t>一级指标设置产出指标、效益指标、满意度指标三大类别，下设二级指标，形成贴合房屋产权交易工作实际的绩效指标。每年预算编制阶段，</w:t>
      </w:r>
      <w:r>
        <w:rPr>
          <w:rFonts w:hint="eastAsia" w:ascii="仿宋_GB2312" w:hAnsi="仿宋_GB2312" w:eastAsia="仿宋_GB2312" w:cs="仿宋_GB2312"/>
          <w:sz w:val="32"/>
          <w:szCs w:val="32"/>
          <w:lang w:val="en-US" w:eastAsia="zh-CN"/>
        </w:rPr>
        <w:t>设置</w:t>
      </w:r>
      <w:r>
        <w:rPr>
          <w:rFonts w:hint="eastAsia" w:ascii="仿宋_GB2312" w:hAnsi="仿宋_GB2312" w:eastAsia="仿宋_GB2312" w:cs="仿宋_GB2312"/>
          <w:sz w:val="32"/>
          <w:szCs w:val="32"/>
        </w:rPr>
        <w:t>对应指标，结合历年业务基数、政务服务标准科学设定年度目标值。年度绩效自评时对照指标逐项核实实际完成情况，对未达标指标深入分析原因，制定整改措施。指标标准值以历史业务数据测算为主，参照政务服务通用标准设定，逐步探索建立房产交易领域标准化绩效指标。</w:t>
      </w:r>
      <w:r>
        <w:rPr>
          <w:rFonts w:hint="eastAsia" w:ascii="仿宋_GB2312" w:hAnsi="仿宋_GB2312" w:eastAsia="仿宋_GB2312" w:cs="仿宋_GB2312"/>
          <w:sz w:val="32"/>
          <w:szCs w:val="32"/>
          <w:lang w:val="en-US" w:eastAsia="zh-CN"/>
        </w:rPr>
        <w:t>指标体系存在短板主要有：</w:t>
      </w:r>
      <w:r>
        <w:rPr>
          <w:rFonts w:hint="eastAsia" w:ascii="仿宋_GB2312" w:hAnsi="仿宋_GB2312" w:eastAsia="仿宋_GB2312" w:cs="仿宋_GB2312"/>
          <w:sz w:val="32"/>
          <w:szCs w:val="32"/>
        </w:rPr>
        <w:t>一是部分指标目标值依靠历史经验测算，指标标准的规范性有待提升；二是部分社会效益指标偏定性描述，量化衡量手段不足</w:t>
      </w:r>
      <w:r>
        <w:rPr>
          <w:rFonts w:hint="eastAsia" w:ascii="仿宋_GB2312" w:hAnsi="仿宋_GB2312" w:eastAsia="仿宋_GB2312" w:cs="仿宋_GB2312"/>
          <w:sz w:val="32"/>
          <w:szCs w:val="32"/>
          <w:lang w:eastAsia="zh-CN"/>
        </w:rPr>
        <w:t>。</w:t>
      </w:r>
    </w:p>
    <w:p w14:paraId="59E8DBB9">
      <w:pPr>
        <w:pStyle w:val="2"/>
        <w:ind w:left="0" w:leftChars="0" w:firstLine="0" w:firstLineChars="0"/>
        <w:rPr>
          <w:rFonts w:hint="default"/>
          <w:lang w:val="en-US" w:eastAsia="zh-CN"/>
        </w:rPr>
      </w:pPr>
    </w:p>
    <w:p w14:paraId="3D82E97A">
      <w:pPr>
        <w:pStyle w:val="5"/>
        <w:keepNext w:val="0"/>
        <w:keepLines w:val="0"/>
        <w:pageBreakBefore w:val="0"/>
        <w:widowControl/>
        <w:kinsoku/>
        <w:wordWrap/>
        <w:overflowPunct/>
        <w:topLinePunct w:val="0"/>
        <w:autoSpaceDE/>
        <w:autoSpaceDN/>
        <w:bidi w:val="0"/>
        <w:adjustRightInd/>
        <w:snapToGrid/>
        <w:spacing w:before="0" w:after="0" w:line="560" w:lineRule="exact"/>
        <w:ind w:left="0" w:right="0"/>
        <w:jc w:val="center"/>
        <w:textAlignment w:val="auto"/>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55BAF299">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449B0316">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7795D8EB">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154BC7F9">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5D3835B4">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75C6D783">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26558853">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6A73AEBA">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70078935">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34BC1592">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27EE8E18">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0BA28FFC">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24462A4D">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55B8531C">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553A3F58">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71460025">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维修费、过路过桥费、保险费、安全奖励费用等支出；公务接待费反映部单位按规定开支的各类公务接待（含外宾接待）费用。</w:t>
      </w:r>
    </w:p>
    <w:p w14:paraId="4338C439">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6DDD6094">
      <w:pPr>
        <w:pStyle w:val="5"/>
        <w:keepNext w:val="0"/>
        <w:keepLines w:val="0"/>
        <w:pageBreakBefore w:val="0"/>
        <w:widowControl/>
        <w:kinsoku/>
        <w:wordWrap/>
        <w:overflowPunct/>
        <w:topLinePunct w:val="0"/>
        <w:autoSpaceDE/>
        <w:autoSpaceDN/>
        <w:bidi w:val="0"/>
        <w:adjustRightInd/>
        <w:snapToGrid/>
        <w:spacing w:before="299" w:after="299" w:line="560" w:lineRule="exact"/>
        <w:jc w:val="center"/>
        <w:textAlignment w:val="auto"/>
        <w:rPr>
          <w:rFonts w:ascii="Times New Roman" w:hAnsi="Times New Roman" w:eastAsia="Times New Roman" w:cs="Times New Roman"/>
          <w:kern w:val="0"/>
          <w:sz w:val="24"/>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215BC2E1">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本单位决算公开信息反馈和联系方式：</w:t>
      </w:r>
    </w:p>
    <w:p w14:paraId="7E557E9A">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伊拉娜</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0478-8298513</w:t>
      </w:r>
    </w:p>
    <w:p w14:paraId="07AB932F">
      <w:pPr>
        <w:pStyle w:val="5"/>
        <w:keepNext w:val="0"/>
        <w:keepLines w:val="0"/>
        <w:pageBreakBefore w:val="0"/>
        <w:widowControl/>
        <w:kinsoku/>
        <w:wordWrap/>
        <w:overflowPunct/>
        <w:topLinePunct w:val="0"/>
        <w:autoSpaceDE/>
        <w:autoSpaceDN/>
        <w:bidi w:val="0"/>
        <w:adjustRightInd/>
        <w:snapToGrid/>
        <w:spacing w:before="299" w:after="299" w:line="560" w:lineRule="exact"/>
        <w:jc w:val="center"/>
        <w:textAlignment w:val="auto"/>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单位决算表</w:t>
      </w:r>
    </w:p>
    <w:p w14:paraId="21E906C4">
      <w:pPr>
        <w:pStyle w:val="33"/>
        <w:keepNext w:val="0"/>
        <w:keepLines w:val="0"/>
        <w:pageBreakBefore w:val="0"/>
        <w:widowControl/>
        <w:kinsoku/>
        <w:wordWrap/>
        <w:overflowPunct/>
        <w:topLinePunct w:val="0"/>
        <w:autoSpaceDE/>
        <w:autoSpaceDN/>
        <w:bidi w:val="0"/>
        <w:adjustRightInd/>
        <w:snapToGrid/>
        <w:spacing w:before="240" w:after="240" w:line="560" w:lineRule="exact"/>
        <w:ind w:left="0" w:right="0"/>
        <w:jc w:val="center"/>
        <w:textAlignment w:val="auto"/>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17C0647D">
      <w:pPr>
        <w:pStyle w:val="33"/>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1"/>
    <w:p w14:paraId="4789F6C0">
      <w:pPr>
        <w:adjustRightInd w:val="0"/>
        <w:snapToGrid w:val="0"/>
        <w:rPr>
          <w:rFonts w:ascii="宋体" w:hAnsi="宋体"/>
          <w:b/>
          <w:sz w:val="32"/>
          <w:szCs w:val="32"/>
        </w:rPr>
      </w:pPr>
    </w:p>
    <w:p w14:paraId="0188579B">
      <w:pPr>
        <w:adjustRightInd w:val="0"/>
        <w:snapToGrid w:val="0"/>
        <w:rPr>
          <w:rFonts w:ascii="宋体" w:hAnsi="宋体"/>
          <w:b/>
          <w:sz w:val="32"/>
          <w:szCs w:val="32"/>
        </w:rPr>
      </w:pPr>
    </w:p>
    <w:p w14:paraId="741659FD">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0F3C52" w:usb2="00000016" w:usb3="00000000" w:csb0="0004001F" w:csb1="00000000"/>
  </w:font>
  <w:font w:name="仿宋">
    <w:altName w:val="微软雅黑"/>
    <w:panose1 w:val="02010609060101010101"/>
    <w:charset w:val="86"/>
    <w:family w:val="modern"/>
    <w:pitch w:val="default"/>
    <w:sig w:usb0="00000000" w:usb1="00000000" w:usb2="00000016" w:usb3="00000000" w:csb0="00040001" w:csb1="00000000"/>
  </w:font>
  <w:font w:name="FangSong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CESI楷体-GB2312">
    <w:panose1 w:val="02000500000000000000"/>
    <w:charset w:val="86"/>
    <w:family w:val="auto"/>
    <w:pitch w:val="default"/>
    <w:sig w:usb0="800002BF" w:usb1="184F6CF8" w:usb2="00000012" w:usb3="00000000" w:csb0="0004000F" w:csb1="00000000"/>
  </w:font>
  <w:font w:name="方正仿宋_GB2312">
    <w:altName w:val="方正仿宋_GBK"/>
    <w:panose1 w:val="02000000000000000000"/>
    <w:charset w:val="86"/>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_new_roman">
    <w:altName w:val="仿宋_GB2312"/>
    <w:panose1 w:val="00000000000000000000"/>
    <w:charset w:val="00"/>
    <w:family w:val="auto"/>
    <w:pitch w:val="default"/>
    <w:sig w:usb0="00000000" w:usb1="00000000" w:usb2="00000000" w:usb3="00000000" w:csb0="0000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fang_zheng_xiao_biao_song_ti">
    <w:altName w:val="仿宋_GB2312"/>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2C816">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E6A9C">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C8F7CB"/>
    <w:multiLevelType w:val="singleLevel"/>
    <w:tmpl w:val="A1C8F7CB"/>
    <w:lvl w:ilvl="0" w:tentative="0">
      <w:start w:val="1"/>
      <w:numFmt w:val="decimal"/>
      <w:lvlText w:val="%1."/>
      <w:lvlJc w:val="left"/>
      <w:pPr>
        <w:tabs>
          <w:tab w:val="left" w:pos="312"/>
        </w:tabs>
      </w:pPr>
    </w:lvl>
  </w:abstractNum>
  <w:abstractNum w:abstractNumId="1">
    <w:nsid w:val="74F648D2"/>
    <w:multiLevelType w:val="singleLevel"/>
    <w:tmpl w:val="74F648D2"/>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splitPgBreakAndParaMark/>
    <w:compatSetting w:name="compatibilityMode" w:uri="http://schemas.microsoft.com/office/word" w:val="12"/>
  </w:compat>
  <w:rsids>
    <w:rsidRoot w:val="00000000"/>
    <w:rsid w:val="01C532E9"/>
    <w:rsid w:val="01E06880"/>
    <w:rsid w:val="01E82981"/>
    <w:rsid w:val="02400C6D"/>
    <w:rsid w:val="02E547D0"/>
    <w:rsid w:val="02EE187D"/>
    <w:rsid w:val="03023F31"/>
    <w:rsid w:val="03282739"/>
    <w:rsid w:val="034D344C"/>
    <w:rsid w:val="035D25B8"/>
    <w:rsid w:val="0441205D"/>
    <w:rsid w:val="0528367D"/>
    <w:rsid w:val="05D40F5F"/>
    <w:rsid w:val="066E29BA"/>
    <w:rsid w:val="06BE36A6"/>
    <w:rsid w:val="06D328FA"/>
    <w:rsid w:val="071B1DAC"/>
    <w:rsid w:val="073F23CE"/>
    <w:rsid w:val="08831659"/>
    <w:rsid w:val="08AE6282"/>
    <w:rsid w:val="08F2669F"/>
    <w:rsid w:val="08FE31A5"/>
    <w:rsid w:val="09D37614"/>
    <w:rsid w:val="0A0C02E6"/>
    <w:rsid w:val="0AC33516"/>
    <w:rsid w:val="0BBB41C7"/>
    <w:rsid w:val="0DC8A3BD"/>
    <w:rsid w:val="0E6C1078"/>
    <w:rsid w:val="0F3B7110"/>
    <w:rsid w:val="0FCE2BB1"/>
    <w:rsid w:val="100C66E7"/>
    <w:rsid w:val="10920FC2"/>
    <w:rsid w:val="10FE773C"/>
    <w:rsid w:val="112538B9"/>
    <w:rsid w:val="139F6C55"/>
    <w:rsid w:val="154114E2"/>
    <w:rsid w:val="15740126"/>
    <w:rsid w:val="16A04555"/>
    <w:rsid w:val="17381E68"/>
    <w:rsid w:val="177B12FA"/>
    <w:rsid w:val="17C43A64"/>
    <w:rsid w:val="19B95844"/>
    <w:rsid w:val="1A916EC5"/>
    <w:rsid w:val="1AF85BDB"/>
    <w:rsid w:val="1B0E0F7C"/>
    <w:rsid w:val="1BB57031"/>
    <w:rsid w:val="1C0C0F5F"/>
    <w:rsid w:val="1C493F61"/>
    <w:rsid w:val="1C583E3B"/>
    <w:rsid w:val="1D41509F"/>
    <w:rsid w:val="1DD75D94"/>
    <w:rsid w:val="1DF5414F"/>
    <w:rsid w:val="1E3A6B23"/>
    <w:rsid w:val="1EDC7B4E"/>
    <w:rsid w:val="1EF113FD"/>
    <w:rsid w:val="1EFD06C6"/>
    <w:rsid w:val="1F5F6442"/>
    <w:rsid w:val="1F9D40D0"/>
    <w:rsid w:val="1FA90161"/>
    <w:rsid w:val="207B1D8B"/>
    <w:rsid w:val="207D42F9"/>
    <w:rsid w:val="20CB507A"/>
    <w:rsid w:val="21244336"/>
    <w:rsid w:val="22933968"/>
    <w:rsid w:val="22BC5429"/>
    <w:rsid w:val="22BD4691"/>
    <w:rsid w:val="22DB79A3"/>
    <w:rsid w:val="22F92E01"/>
    <w:rsid w:val="230534C4"/>
    <w:rsid w:val="235B2E11"/>
    <w:rsid w:val="24C415A1"/>
    <w:rsid w:val="24F92C75"/>
    <w:rsid w:val="250110FD"/>
    <w:rsid w:val="25AB0C8A"/>
    <w:rsid w:val="261A7B3C"/>
    <w:rsid w:val="26233A75"/>
    <w:rsid w:val="27FECD72"/>
    <w:rsid w:val="27FFECC7"/>
    <w:rsid w:val="2808043F"/>
    <w:rsid w:val="287A2416"/>
    <w:rsid w:val="28AD66E5"/>
    <w:rsid w:val="290F152B"/>
    <w:rsid w:val="29273E7A"/>
    <w:rsid w:val="2A4E3C4E"/>
    <w:rsid w:val="2ABC535A"/>
    <w:rsid w:val="2B641307"/>
    <w:rsid w:val="2C3F4613"/>
    <w:rsid w:val="2D2D6A33"/>
    <w:rsid w:val="2DCC69B2"/>
    <w:rsid w:val="2DEE3FDF"/>
    <w:rsid w:val="2E1F5070"/>
    <w:rsid w:val="2ED23F07"/>
    <w:rsid w:val="2FFE497D"/>
    <w:rsid w:val="2FFFAC63"/>
    <w:rsid w:val="30A748A0"/>
    <w:rsid w:val="31620C28"/>
    <w:rsid w:val="318347ED"/>
    <w:rsid w:val="31D904C5"/>
    <w:rsid w:val="320C5F29"/>
    <w:rsid w:val="322A42FF"/>
    <w:rsid w:val="32656B2B"/>
    <w:rsid w:val="327A60A5"/>
    <w:rsid w:val="366A2FFA"/>
    <w:rsid w:val="37DD50A1"/>
    <w:rsid w:val="37EA4597"/>
    <w:rsid w:val="37FF4B15"/>
    <w:rsid w:val="382A6732"/>
    <w:rsid w:val="385C37C7"/>
    <w:rsid w:val="3883478E"/>
    <w:rsid w:val="38B7558F"/>
    <w:rsid w:val="38F71DA9"/>
    <w:rsid w:val="39351855"/>
    <w:rsid w:val="3B3B7C7D"/>
    <w:rsid w:val="3B471E8D"/>
    <w:rsid w:val="3B6760C4"/>
    <w:rsid w:val="3C8C4A3E"/>
    <w:rsid w:val="3D681634"/>
    <w:rsid w:val="3DCEC819"/>
    <w:rsid w:val="3DF54510"/>
    <w:rsid w:val="3ED971A0"/>
    <w:rsid w:val="3F1A7C9C"/>
    <w:rsid w:val="3F241EB7"/>
    <w:rsid w:val="3FC3D6DD"/>
    <w:rsid w:val="3FF7BB41"/>
    <w:rsid w:val="40452B50"/>
    <w:rsid w:val="40D64676"/>
    <w:rsid w:val="40DE0864"/>
    <w:rsid w:val="41D4725E"/>
    <w:rsid w:val="41E163F2"/>
    <w:rsid w:val="42576AAE"/>
    <w:rsid w:val="42FFFB36"/>
    <w:rsid w:val="43CE6689"/>
    <w:rsid w:val="43F63C91"/>
    <w:rsid w:val="44E90A82"/>
    <w:rsid w:val="45692D5F"/>
    <w:rsid w:val="457699CC"/>
    <w:rsid w:val="45BE5FAE"/>
    <w:rsid w:val="46056D1C"/>
    <w:rsid w:val="460C1C0F"/>
    <w:rsid w:val="460C4ECD"/>
    <w:rsid w:val="46182DAC"/>
    <w:rsid w:val="464C5182"/>
    <w:rsid w:val="46A87707"/>
    <w:rsid w:val="47935833"/>
    <w:rsid w:val="47AF7D6E"/>
    <w:rsid w:val="47B65376"/>
    <w:rsid w:val="481B5F19"/>
    <w:rsid w:val="48240688"/>
    <w:rsid w:val="48AB0EFE"/>
    <w:rsid w:val="49BB00CF"/>
    <w:rsid w:val="4B60365E"/>
    <w:rsid w:val="4BD27430"/>
    <w:rsid w:val="4BDC5CF2"/>
    <w:rsid w:val="4BF07CE4"/>
    <w:rsid w:val="4BFE34FC"/>
    <w:rsid w:val="4D462633"/>
    <w:rsid w:val="4DFF74BA"/>
    <w:rsid w:val="4F3070EC"/>
    <w:rsid w:val="4FBA34DD"/>
    <w:rsid w:val="501647EF"/>
    <w:rsid w:val="505234F7"/>
    <w:rsid w:val="506C0ACD"/>
    <w:rsid w:val="50D15286"/>
    <w:rsid w:val="5187300C"/>
    <w:rsid w:val="52BE171D"/>
    <w:rsid w:val="53083FE4"/>
    <w:rsid w:val="53F32429"/>
    <w:rsid w:val="54CF14D5"/>
    <w:rsid w:val="55CE3D63"/>
    <w:rsid w:val="561953AE"/>
    <w:rsid w:val="563323C3"/>
    <w:rsid w:val="56DF0886"/>
    <w:rsid w:val="56EF6E26"/>
    <w:rsid w:val="56F978F7"/>
    <w:rsid w:val="5714374B"/>
    <w:rsid w:val="57162A83"/>
    <w:rsid w:val="573E6837"/>
    <w:rsid w:val="579F2B63"/>
    <w:rsid w:val="57A341B1"/>
    <w:rsid w:val="57E62AC4"/>
    <w:rsid w:val="586E2B80"/>
    <w:rsid w:val="58747BBC"/>
    <w:rsid w:val="58FC4FFE"/>
    <w:rsid w:val="5A317807"/>
    <w:rsid w:val="5B55106E"/>
    <w:rsid w:val="5B9D5FC6"/>
    <w:rsid w:val="5BD6522C"/>
    <w:rsid w:val="5BE46D15"/>
    <w:rsid w:val="5CEE6159"/>
    <w:rsid w:val="5D572C25"/>
    <w:rsid w:val="5D677B56"/>
    <w:rsid w:val="5D9D7F73"/>
    <w:rsid w:val="5DD8043B"/>
    <w:rsid w:val="5F357BAF"/>
    <w:rsid w:val="5F5A037C"/>
    <w:rsid w:val="5FBF518E"/>
    <w:rsid w:val="5FDF6FFF"/>
    <w:rsid w:val="5FFDAAEF"/>
    <w:rsid w:val="5FFEAE24"/>
    <w:rsid w:val="60564783"/>
    <w:rsid w:val="60853036"/>
    <w:rsid w:val="60F563FA"/>
    <w:rsid w:val="61441E93"/>
    <w:rsid w:val="61C66B58"/>
    <w:rsid w:val="61CD446D"/>
    <w:rsid w:val="62F819C9"/>
    <w:rsid w:val="63382039"/>
    <w:rsid w:val="6400485D"/>
    <w:rsid w:val="64A55CD4"/>
    <w:rsid w:val="653D52B2"/>
    <w:rsid w:val="65461645"/>
    <w:rsid w:val="6551006A"/>
    <w:rsid w:val="66FDCDEF"/>
    <w:rsid w:val="673426E5"/>
    <w:rsid w:val="67587BC2"/>
    <w:rsid w:val="67936232"/>
    <w:rsid w:val="67BE0FC9"/>
    <w:rsid w:val="682129BB"/>
    <w:rsid w:val="683C7D6C"/>
    <w:rsid w:val="686904D7"/>
    <w:rsid w:val="688E25CD"/>
    <w:rsid w:val="688E447B"/>
    <w:rsid w:val="6931387D"/>
    <w:rsid w:val="69355CC1"/>
    <w:rsid w:val="6955542E"/>
    <w:rsid w:val="69E776DA"/>
    <w:rsid w:val="6A502B84"/>
    <w:rsid w:val="6A5D753B"/>
    <w:rsid w:val="6A8C0827"/>
    <w:rsid w:val="6A9D24F4"/>
    <w:rsid w:val="6AA5389D"/>
    <w:rsid w:val="6AF52EFD"/>
    <w:rsid w:val="6B0F44D8"/>
    <w:rsid w:val="6B7F640A"/>
    <w:rsid w:val="6BB92BE9"/>
    <w:rsid w:val="6BC05360"/>
    <w:rsid w:val="6BF5B0BB"/>
    <w:rsid w:val="6C714513"/>
    <w:rsid w:val="6CB30550"/>
    <w:rsid w:val="6D3F8147"/>
    <w:rsid w:val="6DB84617"/>
    <w:rsid w:val="6DDF3C60"/>
    <w:rsid w:val="6DFA474D"/>
    <w:rsid w:val="6E67A2DE"/>
    <w:rsid w:val="6E7F174A"/>
    <w:rsid w:val="6EFE8916"/>
    <w:rsid w:val="6F43104A"/>
    <w:rsid w:val="6F5A4CB2"/>
    <w:rsid w:val="6F693CA2"/>
    <w:rsid w:val="6F6F4C02"/>
    <w:rsid w:val="6F8662D5"/>
    <w:rsid w:val="6F9D1392"/>
    <w:rsid w:val="6FB9B364"/>
    <w:rsid w:val="701A027E"/>
    <w:rsid w:val="70320F48"/>
    <w:rsid w:val="71015D2D"/>
    <w:rsid w:val="710E5D7C"/>
    <w:rsid w:val="71287341"/>
    <w:rsid w:val="728453AC"/>
    <w:rsid w:val="72EF9306"/>
    <w:rsid w:val="73087D6F"/>
    <w:rsid w:val="7471450F"/>
    <w:rsid w:val="74C76212"/>
    <w:rsid w:val="74D94BB5"/>
    <w:rsid w:val="765F66CF"/>
    <w:rsid w:val="767825EE"/>
    <w:rsid w:val="76FD292B"/>
    <w:rsid w:val="773B692E"/>
    <w:rsid w:val="77744371"/>
    <w:rsid w:val="777D77A2"/>
    <w:rsid w:val="779A1276"/>
    <w:rsid w:val="779A9EC8"/>
    <w:rsid w:val="779F05B6"/>
    <w:rsid w:val="77BF0268"/>
    <w:rsid w:val="77D221D2"/>
    <w:rsid w:val="77DC4DFE"/>
    <w:rsid w:val="77E51127"/>
    <w:rsid w:val="77F7C4F1"/>
    <w:rsid w:val="77FA2500"/>
    <w:rsid w:val="77FCCD41"/>
    <w:rsid w:val="78F123E9"/>
    <w:rsid w:val="794019B2"/>
    <w:rsid w:val="79546563"/>
    <w:rsid w:val="79780AD4"/>
    <w:rsid w:val="79C9773A"/>
    <w:rsid w:val="79D627B8"/>
    <w:rsid w:val="79EF6160"/>
    <w:rsid w:val="7A73317E"/>
    <w:rsid w:val="7AAF4A76"/>
    <w:rsid w:val="7ADD1DE7"/>
    <w:rsid w:val="7B771B69"/>
    <w:rsid w:val="7B979B79"/>
    <w:rsid w:val="7BAE21EF"/>
    <w:rsid w:val="7BE4443C"/>
    <w:rsid w:val="7CB74812"/>
    <w:rsid w:val="7D1B34F9"/>
    <w:rsid w:val="7D7930E6"/>
    <w:rsid w:val="7D8A03F9"/>
    <w:rsid w:val="7D8B420A"/>
    <w:rsid w:val="7DDE5E8E"/>
    <w:rsid w:val="7DE3EB88"/>
    <w:rsid w:val="7DE9FA9E"/>
    <w:rsid w:val="7E3BEBE3"/>
    <w:rsid w:val="7EBFBC77"/>
    <w:rsid w:val="7FDC7922"/>
    <w:rsid w:val="7FF9C66C"/>
    <w:rsid w:val="7FFF9C27"/>
    <w:rsid w:val="AE3B5746"/>
    <w:rsid w:val="B5FF1CF5"/>
    <w:rsid w:val="B7FBA536"/>
    <w:rsid w:val="B9CFB8AF"/>
    <w:rsid w:val="BEDCDA96"/>
    <w:rsid w:val="BFF07772"/>
    <w:rsid w:val="BFF5FBAA"/>
    <w:rsid w:val="D3FFB31B"/>
    <w:rsid w:val="D7FE10DD"/>
    <w:rsid w:val="DEDF88CE"/>
    <w:rsid w:val="DEFF6D8E"/>
    <w:rsid w:val="DFF7BA81"/>
    <w:rsid w:val="DFFF332A"/>
    <w:rsid w:val="E5DA4E9A"/>
    <w:rsid w:val="E6D69536"/>
    <w:rsid w:val="E7FF2DD7"/>
    <w:rsid w:val="EABC2492"/>
    <w:rsid w:val="EB4C521A"/>
    <w:rsid w:val="EBFF3970"/>
    <w:rsid w:val="EDF7327D"/>
    <w:rsid w:val="EE7B99D4"/>
    <w:rsid w:val="EEF764EB"/>
    <w:rsid w:val="EF7F3ACB"/>
    <w:rsid w:val="EF7F8916"/>
    <w:rsid w:val="EFC3C481"/>
    <w:rsid w:val="F3BB4983"/>
    <w:rsid w:val="F5FFE5E3"/>
    <w:rsid w:val="F66E5D29"/>
    <w:rsid w:val="F7AF8309"/>
    <w:rsid w:val="F7BB5FBC"/>
    <w:rsid w:val="F97F7963"/>
    <w:rsid w:val="F9EF81EE"/>
    <w:rsid w:val="FBCF4782"/>
    <w:rsid w:val="FD7A6D2B"/>
    <w:rsid w:val="FECA280A"/>
    <w:rsid w:val="FEEB708D"/>
    <w:rsid w:val="FEFD8A62"/>
    <w:rsid w:val="FF2FA62F"/>
    <w:rsid w:val="FF3ADC1C"/>
    <w:rsid w:val="FF6E2043"/>
    <w:rsid w:val="FFB7DEA6"/>
    <w:rsid w:val="FFC79DDA"/>
    <w:rsid w:val="FFDEED2D"/>
    <w:rsid w:val="FFFCF9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1"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0" w:semiHidden="0" w:name="Body Text First Indent 2"/>
    <w:lsdException w:uiPriority="0" w:name="Note Heading"/>
    <w:lsdException w:qFormat="1"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32"/>
    <w:qFormat/>
    <w:uiPriority w:val="0"/>
    <w:pPr>
      <w:keepNext/>
      <w:keepLines/>
      <w:spacing w:before="260" w:after="260" w:line="416" w:lineRule="auto"/>
      <w:outlineLvl w:val="2"/>
    </w:pPr>
    <w:rPr>
      <w:b/>
      <w:bCs/>
      <w:sz w:val="32"/>
      <w:szCs w:val="32"/>
    </w:rPr>
  </w:style>
  <w:style w:type="paragraph" w:styleId="7">
    <w:name w:val="heading 4"/>
    <w:basedOn w:val="1"/>
    <w:next w:val="1"/>
    <w:link w:val="27"/>
    <w:qFormat/>
    <w:uiPriority w:val="0"/>
    <w:pPr>
      <w:keepNext/>
      <w:keepLines/>
      <w:spacing w:before="280" w:after="290" w:line="376" w:lineRule="auto"/>
      <w:outlineLvl w:val="3"/>
    </w:pPr>
    <w:rPr>
      <w:rFonts w:ascii="Cambria" w:hAnsi="Cambria"/>
      <w:b/>
      <w:bCs/>
      <w:sz w:val="28"/>
      <w:szCs w:val="28"/>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0"/>
    <w:pPr>
      <w:ind w:firstLine="420"/>
    </w:pPr>
    <w:rPr>
      <w:rFonts w:hint="eastAsia"/>
      <w:sz w:val="24"/>
    </w:rPr>
  </w:style>
  <w:style w:type="paragraph" w:styleId="3">
    <w:name w:val="Body Text Indent"/>
    <w:basedOn w:val="1"/>
    <w:next w:val="1"/>
    <w:unhideWhenUsed/>
    <w:qFormat/>
    <w:uiPriority w:val="0"/>
    <w:pPr>
      <w:spacing w:after="120"/>
      <w:ind w:left="420" w:leftChars="200"/>
    </w:pPr>
    <w:rPr>
      <w:rFonts w:hint="eastAsia" w:ascii="宋体" w:hAnsi="宋体" w:eastAsia="宋体"/>
      <w:sz w:val="24"/>
    </w:rPr>
  </w:style>
  <w:style w:type="paragraph" w:styleId="8">
    <w:name w:val="toc 7"/>
    <w:basedOn w:val="1"/>
    <w:next w:val="1"/>
    <w:qFormat/>
    <w:uiPriority w:val="0"/>
    <w:pPr>
      <w:ind w:left="1260"/>
      <w:jc w:val="left"/>
    </w:pPr>
    <w:rPr>
      <w:sz w:val="20"/>
      <w:szCs w:val="20"/>
    </w:rPr>
  </w:style>
  <w:style w:type="paragraph" w:styleId="9">
    <w:name w:val="Document Map"/>
    <w:basedOn w:val="1"/>
    <w:qFormat/>
    <w:uiPriority w:val="0"/>
    <w:pPr>
      <w:shd w:val="clear" w:color="auto" w:fill="000080"/>
    </w:pPr>
  </w:style>
  <w:style w:type="paragraph" w:styleId="10">
    <w:name w:val="Body Text"/>
    <w:basedOn w:val="1"/>
    <w:next w:val="11"/>
    <w:unhideWhenUsed/>
    <w:qFormat/>
    <w:uiPriority w:val="1"/>
    <w:pPr>
      <w:spacing w:after="120"/>
    </w:pPr>
    <w:rPr>
      <w:rFonts w:hint="default"/>
      <w:sz w:val="24"/>
    </w:rPr>
  </w:style>
  <w:style w:type="paragraph" w:styleId="11">
    <w:name w:val="Body Text 2"/>
    <w:basedOn w:val="1"/>
    <w:unhideWhenUsed/>
    <w:qFormat/>
    <w:uiPriority w:val="99"/>
    <w:pPr>
      <w:spacing w:after="120" w:line="480" w:lineRule="auto"/>
    </w:pPr>
    <w:rPr>
      <w:rFonts w:hint="default"/>
      <w:sz w:val="24"/>
    </w:rPr>
  </w:style>
  <w:style w:type="paragraph" w:styleId="12">
    <w:name w:val="toc 5"/>
    <w:basedOn w:val="1"/>
    <w:next w:val="1"/>
    <w:qFormat/>
    <w:uiPriority w:val="0"/>
    <w:pPr>
      <w:ind w:left="840"/>
      <w:jc w:val="left"/>
    </w:pPr>
    <w:rPr>
      <w:sz w:val="20"/>
      <w:szCs w:val="20"/>
    </w:rPr>
  </w:style>
  <w:style w:type="paragraph" w:styleId="13">
    <w:name w:val="toc 3"/>
    <w:basedOn w:val="1"/>
    <w:next w:val="1"/>
    <w:qFormat/>
    <w:uiPriority w:val="0"/>
    <w:pPr>
      <w:adjustRightInd w:val="0"/>
      <w:snapToGrid w:val="0"/>
      <w:spacing w:line="360" w:lineRule="auto"/>
      <w:ind w:firstLine="400" w:firstLineChars="400"/>
      <w:jc w:val="left"/>
    </w:pPr>
    <w:rPr>
      <w:sz w:val="24"/>
      <w:szCs w:val="20"/>
    </w:rPr>
  </w:style>
  <w:style w:type="paragraph" w:styleId="14">
    <w:name w:val="toc 8"/>
    <w:basedOn w:val="1"/>
    <w:next w:val="1"/>
    <w:qFormat/>
    <w:uiPriority w:val="0"/>
    <w:pPr>
      <w:ind w:left="1470"/>
      <w:jc w:val="left"/>
    </w:pPr>
    <w:rPr>
      <w:sz w:val="20"/>
      <w:szCs w:val="20"/>
    </w:rPr>
  </w:style>
  <w:style w:type="paragraph" w:styleId="15">
    <w:name w:val="footer"/>
    <w:basedOn w:val="1"/>
    <w:link w:val="30"/>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pPr>
      <w:adjustRightInd w:val="0"/>
      <w:snapToGrid w:val="0"/>
      <w:spacing w:line="360" w:lineRule="auto"/>
      <w:jc w:val="left"/>
    </w:pPr>
    <w:rPr>
      <w:b/>
      <w:bCs/>
      <w:sz w:val="24"/>
      <w:szCs w:val="20"/>
    </w:rPr>
  </w:style>
  <w:style w:type="paragraph" w:styleId="18">
    <w:name w:val="toc 4"/>
    <w:basedOn w:val="1"/>
    <w:next w:val="1"/>
    <w:qFormat/>
    <w:uiPriority w:val="0"/>
    <w:pPr>
      <w:ind w:left="630"/>
      <w:jc w:val="left"/>
    </w:pPr>
    <w:rPr>
      <w:sz w:val="20"/>
      <w:szCs w:val="20"/>
    </w:rPr>
  </w:style>
  <w:style w:type="paragraph" w:styleId="19">
    <w:name w:val="toc 6"/>
    <w:basedOn w:val="1"/>
    <w:next w:val="1"/>
    <w:qFormat/>
    <w:uiPriority w:val="0"/>
    <w:pPr>
      <w:ind w:left="1050"/>
      <w:jc w:val="left"/>
    </w:pPr>
    <w:rPr>
      <w:sz w:val="20"/>
      <w:szCs w:val="20"/>
    </w:rPr>
  </w:style>
  <w:style w:type="paragraph" w:styleId="20">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21">
    <w:name w:val="toc 9"/>
    <w:basedOn w:val="1"/>
    <w:next w:val="1"/>
    <w:qFormat/>
    <w:uiPriority w:val="0"/>
    <w:pPr>
      <w:ind w:left="1680"/>
      <w:jc w:val="left"/>
    </w:pPr>
    <w:rPr>
      <w:sz w:val="20"/>
      <w:szCs w:val="20"/>
    </w:rPr>
  </w:style>
  <w:style w:type="paragraph" w:styleId="2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25">
    <w:name w:val="page number"/>
    <w:basedOn w:val="24"/>
    <w:qFormat/>
    <w:uiPriority w:val="0"/>
  </w:style>
  <w:style w:type="character" w:styleId="26">
    <w:name w:val="Hyperlink"/>
    <w:basedOn w:val="24"/>
    <w:qFormat/>
    <w:uiPriority w:val="0"/>
    <w:rPr>
      <w:color w:val="0000FF"/>
      <w:u w:val="single"/>
    </w:rPr>
  </w:style>
  <w:style w:type="character" w:customStyle="1" w:styleId="27">
    <w:name w:val="标题 4 Char"/>
    <w:basedOn w:val="24"/>
    <w:link w:val="7"/>
    <w:qFormat/>
    <w:uiPriority w:val="0"/>
    <w:rPr>
      <w:rFonts w:ascii="Cambria" w:hAnsi="Cambria"/>
      <w:b/>
      <w:bCs/>
      <w:kern w:val="2"/>
      <w:sz w:val="28"/>
      <w:szCs w:val="28"/>
    </w:rPr>
  </w:style>
  <w:style w:type="paragraph" w:styleId="28">
    <w:name w:val="No Spacing"/>
    <w:link w:val="29"/>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9">
    <w:name w:val="无间隔 Char"/>
    <w:link w:val="28"/>
    <w:qFormat/>
    <w:locked/>
    <w:uiPriority w:val="0"/>
    <w:rPr>
      <w:rFonts w:eastAsia="仿宋_GB2312"/>
      <w:sz w:val="30"/>
      <w:szCs w:val="22"/>
      <w:lang w:bidi="ar-SA"/>
    </w:rPr>
  </w:style>
  <w:style w:type="character" w:customStyle="1" w:styleId="30">
    <w:name w:val="页脚 Char"/>
    <w:basedOn w:val="24"/>
    <w:link w:val="15"/>
    <w:qFormat/>
    <w:uiPriority w:val="0"/>
    <w:rPr>
      <w:kern w:val="2"/>
      <w:sz w:val="18"/>
      <w:szCs w:val="18"/>
    </w:rPr>
  </w:style>
  <w:style w:type="paragraph" w:styleId="31">
    <w:name w:val="List Paragraph"/>
    <w:basedOn w:val="1"/>
    <w:qFormat/>
    <w:uiPriority w:val="0"/>
    <w:pPr>
      <w:ind w:firstLine="420" w:firstLineChars="200"/>
    </w:pPr>
  </w:style>
  <w:style w:type="character" w:customStyle="1" w:styleId="32">
    <w:name w:val="标题 3 Char"/>
    <w:basedOn w:val="24"/>
    <w:link w:val="6"/>
    <w:qFormat/>
    <w:uiPriority w:val="0"/>
    <w:rPr>
      <w:b/>
      <w:bCs/>
      <w:kern w:val="2"/>
      <w:sz w:val="32"/>
      <w:szCs w:val="32"/>
    </w:rPr>
  </w:style>
  <w:style w:type="paragraph" w:customStyle="1" w:styleId="33">
    <w:name w:val="MsoNormal"/>
    <w:basedOn w:val="1"/>
    <w:qFormat/>
    <w:uiPriority w:val="0"/>
  </w:style>
  <w:style w:type="paragraph" w:customStyle="1" w:styleId="34">
    <w:name w:val="UserStyle_0"/>
    <w:basedOn w:val="35"/>
    <w:next w:val="1"/>
    <w:qFormat/>
    <w:uiPriority w:val="0"/>
    <w:pPr>
      <w:ind w:firstLine="420" w:firstLineChars="100"/>
    </w:pPr>
  </w:style>
  <w:style w:type="paragraph" w:customStyle="1" w:styleId="35">
    <w:name w:val="UserStyle_1"/>
    <w:basedOn w:val="1"/>
    <w:next w:val="36"/>
    <w:qFormat/>
    <w:uiPriority w:val="0"/>
    <w:pPr>
      <w:spacing w:after="120"/>
    </w:pPr>
  </w:style>
  <w:style w:type="paragraph" w:customStyle="1" w:styleId="36">
    <w:name w:val="UserStyle_3"/>
    <w:basedOn w:val="1"/>
    <w:qFormat/>
    <w:uiPriority w:val="0"/>
    <w:pPr>
      <w:spacing w:after="120" w:line="480" w:lineRule="auto"/>
    </w:pPr>
  </w:style>
  <w:style w:type="paragraph" w:customStyle="1" w:styleId="3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wne="http://schemas.microsoft.com/office/word/2006/wordml" xmlns:w14="http://schemas.microsoft.com/office/word/2010/wordml" xmlns:w15="http://schemas.microsoft.com/office/word/2012/wordml" xmlns:comp="http://schemas.openxmlformats.org/drawingml/2006/compatibility" xmlns:wp="http://schemas.openxmlformats.org/drawingml/2006/wordprocessingDrawing" xmlns:wps="http://schemas.microsoft.com/office/word/2010/wordprocessingShape" xmlns:odgm="http://opendope.org/SmartArt/DataHierarchy" xmlns:c14="http://schemas.microsoft.com/office/drawing/2007/8/2/chart" xmlns:sl="http://schemas.openxmlformats.org/schemaLibrary/2006/main" xmlns:pic="http://schemas.openxmlformats.org/drawingml/2006/picture" xmlns:w16cid="http://schemas.microsoft.com/office/word/2016/wordml/cid" xmlns:mc="http://schemas.openxmlformats.org/markup-compatibility/2006" xmlns:dgm="http://schemas.openxmlformats.org/drawingml/2006/diagram" xmlns:w16se="http://schemas.microsoft.com/office/word/2015/wordml/symex" xmlns:oda="http://opendope.org/answers" xmlns:a="http://schemas.openxmlformats.org/drawingml/2006/main" xmlns:odc="http://opendope.org/conditions" xmlns:wp14="http://schemas.microsoft.com/office/word/2010/wordprocessingDrawing" xmlns:c="http://schemas.openxmlformats.org/drawingml/2006/chart" xmlns:odi="http://opendope.org/components" xmlns:cdr="http://schemas.openxmlformats.org/drawingml/2006/chartDrawing" xmlns:wetp="http://schemas.microsoft.com/office/webextensions/taskpanes/2010/11" xmlns:m="http://schemas.openxmlformats.org/officeDocument/2006/math" xmlns:pvml="urn:schemas-microsoft-com:office:powerpoint" xmlns:o="urn:schemas-microsoft-com:office:office" xmlns:odq="http://opendope.org/questions" xmlns:r="http://schemas.openxmlformats.org/officeDocument/2006/relationships" xmlns:lc="http://schemas.openxmlformats.org/drawingml/2006/lockedCanvas" xmlns:cppr="http://schemas.microsoft.com/office/2006/coverPageProps" xmlns:v="urn:schemas-microsoft-com:vml" xmlns:xvml="urn:schemas-microsoft-com:office:excel" xmlns:w="http://schemas.openxmlformats.org/wordprocessingml/2006/main" xmlns:xdr="http://schemas.openxmlformats.org/drawingml/2006/spreadsheetDrawing" xmlns:odx="http://opendope.org/xpaths" xmlns:dsp="http://schemas.microsoft.com/office/drawing/2008/diagram" xmlns:we="http://schemas.microsoft.com/office/webextensions/webextension/2010/11" xmlns:w10="urn:schemas-microsoft-com:office:word" StyleName="APA" SelectedStyle="\APASixthEditionOfficeOnline.xsl"/>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42</Pages>
  <Words>6795</Words>
  <Characters>7155</Characters>
  <Lines>1</Lines>
  <Paragraphs>1</Paragraphs>
  <TotalTime>2</TotalTime>
  <ScaleCrop>false</ScaleCrop>
  <LinksUpToDate>false</LinksUpToDate>
  <CharactersWithSpaces>7187</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2022-03-25T04:40:00Z</dcterms:created>
  <dc:creator>Administrator</dc:creator>
  <cp:lastModifiedBy>user</cp:lastModifiedBy>
  <cp:lastPrinted>2021-04-17T16:45:00Z</cp:lastPrinted>
  <dcterms:modified xsi:type="dcterms:W3CDTF">2026-09-22T17:51:53Z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2052-12.8.2.20327</vt:lpwstr>
  </property>
  <property fmtid="{D5CDD505-2E9C-101B-9397-08002B2CF9AE}" pid="4" name="KSOTemplateDocerSaveRecord">
    <vt:lpwstr>eyJoZGlkIjoiMjlmNTEzMjUwZWQ3ZmZkNzMyNGMyYzRlNjAzMjZiZGUiLCJ1c2VySWQiOiIzNDIwODMyODAifQ==</vt:lpwstr>
  </property>
</Properties>
</file>