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0A35EE">
      <w:pPr>
        <w:spacing w:line="360" w:lineRule="auto"/>
        <w:jc w:val="center"/>
        <w:rPr>
          <w:rFonts w:ascii="宋体" w:hAnsi="宋体"/>
          <w:sz w:val="24"/>
        </w:rPr>
      </w:pPr>
    </w:p>
    <w:p w14:paraId="2A979C9D">
      <w:pPr>
        <w:spacing w:line="360" w:lineRule="auto"/>
        <w:jc w:val="center"/>
        <w:rPr>
          <w:rFonts w:ascii="宋体" w:hAnsi="宋体"/>
          <w:sz w:val="24"/>
        </w:rPr>
      </w:pPr>
    </w:p>
    <w:p w14:paraId="682EEE29">
      <w:pPr>
        <w:spacing w:line="360" w:lineRule="auto"/>
        <w:jc w:val="center"/>
        <w:rPr>
          <w:rFonts w:ascii="宋体" w:hAnsi="宋体"/>
          <w:sz w:val="24"/>
        </w:rPr>
      </w:pPr>
    </w:p>
    <w:p w14:paraId="1C495D31">
      <w:pPr>
        <w:spacing w:line="360" w:lineRule="auto"/>
        <w:jc w:val="center"/>
        <w:rPr>
          <w:rFonts w:ascii="宋体" w:hAnsi="宋体"/>
          <w:sz w:val="24"/>
        </w:rPr>
      </w:pPr>
    </w:p>
    <w:p w14:paraId="233E4B8C">
      <w:pPr>
        <w:spacing w:line="360" w:lineRule="auto"/>
        <w:jc w:val="center"/>
        <w:rPr>
          <w:rFonts w:ascii="宋体" w:hAnsi="宋体"/>
          <w:b/>
          <w:bCs/>
          <w:sz w:val="52"/>
          <w:szCs w:val="52"/>
        </w:rPr>
      </w:pPr>
      <w:r>
        <w:rPr>
          <w:rFonts w:ascii="宋体" w:hAnsi="宋体"/>
          <w:b/>
          <w:bCs/>
          <w:sz w:val="52"/>
          <w:szCs w:val="52"/>
        </w:rPr>
        <w:t>2025</w:t>
      </w:r>
      <w:r>
        <w:rPr>
          <w:rFonts w:hint="eastAsia" w:ascii="宋体" w:hAnsi="宋体"/>
          <w:b/>
          <w:bCs/>
          <w:sz w:val="52"/>
          <w:szCs w:val="52"/>
        </w:rPr>
        <w:t>年度巴彦淖尔市城市生活垃圾分类指导中心</w:t>
      </w:r>
    </w:p>
    <w:p w14:paraId="2C4E76A6">
      <w:pPr>
        <w:spacing w:line="360" w:lineRule="auto"/>
        <w:jc w:val="center"/>
        <w:rPr>
          <w:rFonts w:ascii="宋体" w:hAnsi="宋体"/>
          <w:b/>
          <w:bCs/>
          <w:sz w:val="52"/>
          <w:szCs w:val="52"/>
        </w:rPr>
      </w:pPr>
      <w:r>
        <w:rPr>
          <w:rFonts w:hint="eastAsia" w:ascii="宋体" w:hAnsi="宋体"/>
          <w:b/>
          <w:bCs/>
          <w:sz w:val="52"/>
          <w:szCs w:val="52"/>
        </w:rPr>
        <w:t>公开报告</w:t>
      </w:r>
    </w:p>
    <w:p w14:paraId="20E0DBA2">
      <w:pPr>
        <w:spacing w:line="360" w:lineRule="auto"/>
        <w:jc w:val="center"/>
        <w:rPr>
          <w:rFonts w:ascii="宋体" w:hAnsi="宋体"/>
          <w:b/>
          <w:bCs/>
          <w:sz w:val="52"/>
          <w:szCs w:val="52"/>
        </w:rPr>
      </w:pPr>
    </w:p>
    <w:p w14:paraId="247DC0AA">
      <w:pPr>
        <w:spacing w:line="360" w:lineRule="auto"/>
        <w:jc w:val="center"/>
        <w:rPr>
          <w:rFonts w:ascii="宋体" w:hAnsi="宋体"/>
          <w:b/>
          <w:bCs/>
          <w:sz w:val="52"/>
          <w:szCs w:val="52"/>
        </w:rPr>
      </w:pPr>
    </w:p>
    <w:p w14:paraId="05261345">
      <w:pPr>
        <w:spacing w:line="360" w:lineRule="auto"/>
        <w:jc w:val="center"/>
        <w:rPr>
          <w:rFonts w:ascii="宋体" w:hAnsi="宋体"/>
          <w:b/>
          <w:bCs/>
          <w:sz w:val="52"/>
          <w:szCs w:val="52"/>
        </w:rPr>
      </w:pPr>
    </w:p>
    <w:p w14:paraId="740304C2">
      <w:pPr>
        <w:spacing w:line="360" w:lineRule="auto"/>
        <w:jc w:val="center"/>
        <w:rPr>
          <w:rFonts w:ascii="宋体" w:hAnsi="宋体"/>
          <w:b/>
          <w:bCs/>
          <w:sz w:val="52"/>
          <w:szCs w:val="52"/>
        </w:rPr>
      </w:pPr>
    </w:p>
    <w:p w14:paraId="7DAAAF93">
      <w:pPr>
        <w:spacing w:line="360" w:lineRule="auto"/>
        <w:jc w:val="center"/>
        <w:rPr>
          <w:rFonts w:ascii="宋体" w:hAnsi="宋体"/>
          <w:b/>
          <w:bCs/>
          <w:sz w:val="52"/>
          <w:szCs w:val="52"/>
        </w:rPr>
      </w:pPr>
    </w:p>
    <w:p w14:paraId="47E375C9">
      <w:pPr>
        <w:ind w:firstLine="2241" w:firstLineChars="700"/>
        <w:rPr>
          <w:rFonts w:ascii="仿宋" w:hAnsi="仿宋" w:eastAsia="仿宋"/>
          <w:b/>
          <w:sz w:val="32"/>
          <w:szCs w:val="32"/>
        </w:rPr>
        <w:sectPr>
          <w:footerReference r:id="rId3" w:type="default"/>
          <w:pgSz w:w="11906" w:h="16838"/>
          <w:pgMar w:top="1440" w:right="1800" w:bottom="1440" w:left="1800" w:header="0" w:footer="720" w:gutter="0"/>
          <w:cols w:space="425" w:num="1"/>
          <w:docGrid w:type="lines" w:linePitch="312" w:charSpace="0"/>
        </w:sectPr>
      </w:pPr>
    </w:p>
    <w:p w14:paraId="0D8DD7AE">
      <w:pPr>
        <w:pStyle w:val="29"/>
        <w:widowControl/>
        <w:spacing w:after="240"/>
        <w:jc w:val="center"/>
        <w:rPr>
          <w:rFonts w:ascii="Times New Roman" w:hAnsi="Times New Roman" w:eastAsia="Times New Roman" w:cs="Times New Roman"/>
          <w:kern w:val="0"/>
          <w:sz w:val="24"/>
        </w:rPr>
      </w:pPr>
      <w:bookmarkStart w:id="0" w:name="a000"/>
      <w:r>
        <w:rPr>
          <w:rFonts w:ascii="FangSong_GB2312" w:hAnsi="FangSong_GB2312" w:eastAsia="FangSong_GB2312" w:cs="FangSong_GB2312"/>
          <w:b/>
          <w:bCs/>
          <w:kern w:val="0"/>
          <w:sz w:val="48"/>
          <w:szCs w:val="48"/>
        </w:rPr>
        <w:t>目录</w:t>
      </w:r>
    </w:p>
    <w:p w14:paraId="3CB62241">
      <w:pPr>
        <w:widowControl/>
        <w:spacing w:before="240" w:after="240"/>
        <w:jc w:val="left"/>
        <w:rPr>
          <w:rFonts w:ascii="Times New Roman" w:hAnsi="Times New Roman" w:eastAsia="Times New Roman" w:cs="Times New Roman"/>
          <w:kern w:val="0"/>
          <w:sz w:val="24"/>
        </w:rPr>
      </w:pPr>
      <w:r>
        <w:rPr>
          <w:rFonts w:ascii="Times New Roman" w:hAnsi="Times New Roman" w:eastAsia="Times New Roman" w:cs="Times New Roman"/>
          <w:b/>
          <w:bCs/>
          <w:kern w:val="0"/>
          <w:sz w:val="24"/>
        </w:rPr>
        <w:t> </w:t>
      </w:r>
    </w:p>
    <w:p w14:paraId="4044DEF1">
      <w:pPr>
        <w:pStyle w:val="29"/>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第一部分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部门（单位）概况</w:t>
      </w:r>
    </w:p>
    <w:p w14:paraId="77BE4DA1">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一、主要职能、职责</w:t>
      </w:r>
    </w:p>
    <w:p w14:paraId="40299872">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二、部门（单位）机构设置及决算单位构成情况</w:t>
      </w:r>
    </w:p>
    <w:p w14:paraId="269C770E">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w:t>
      </w:r>
      <w:r>
        <w:rPr>
          <w:rFonts w:eastAsia="Times New Roman"/>
          <w:kern w:val="0"/>
          <w:sz w:val="32"/>
          <w:szCs w:val="32"/>
          <w:lang w:eastAsia="en-US"/>
        </w:rPr>
        <w:t>2025</w:t>
      </w:r>
      <w:r>
        <w:rPr>
          <w:rFonts w:ascii="FangSong_GB2312" w:hAnsi="FangSong_GB2312" w:eastAsia="FangSong_GB2312" w:cs="FangSong_GB2312"/>
          <w:kern w:val="0"/>
          <w:sz w:val="32"/>
          <w:szCs w:val="32"/>
        </w:rPr>
        <w:t>年度部门（单位）主要工作完成情况</w:t>
      </w:r>
    </w:p>
    <w:p w14:paraId="54688E67">
      <w:pPr>
        <w:pStyle w:val="29"/>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第二部分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部门（单位）决算情况说明</w:t>
      </w:r>
    </w:p>
    <w:p w14:paraId="2C6974CA">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一、收入支出决算总体情况说明</w:t>
      </w:r>
    </w:p>
    <w:p w14:paraId="6FE9ED05">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二、收入决算情况说明</w:t>
      </w:r>
    </w:p>
    <w:p w14:paraId="7EC7FFE7">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三、支出决算情况说明</w:t>
      </w:r>
    </w:p>
    <w:p w14:paraId="7B8A2D6B">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四、财政拨款收入支出决算总体情况说明</w:t>
      </w:r>
    </w:p>
    <w:p w14:paraId="483E0A32">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五、一般公共预算财政拨款支出决算情况说明</w:t>
      </w:r>
    </w:p>
    <w:p w14:paraId="37BD382A">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六、一般公共预算财政拨款基本支出决算情况说明</w:t>
      </w:r>
    </w:p>
    <w:p w14:paraId="6F292B77">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七、一般公共预算财政拨款项目支出决算情况说明</w:t>
      </w:r>
    </w:p>
    <w:p w14:paraId="077CB0FC">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八、财政拨款“三公”经费支出决算情况说明</w:t>
      </w:r>
    </w:p>
    <w:p w14:paraId="587CA392">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九、政府性基金预算财政拨款支出决算情况说明</w:t>
      </w:r>
    </w:p>
    <w:p w14:paraId="1295A144">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十、国有资本经营预算财政拨款支出决算情况说明</w:t>
      </w:r>
    </w:p>
    <w:p w14:paraId="42819DC5">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十一、机关运行经费（公用经费）支出决算情况说明</w:t>
      </w:r>
    </w:p>
    <w:p w14:paraId="3DE5E00A">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十二、政府采购支出决算情况说明</w:t>
      </w:r>
    </w:p>
    <w:p w14:paraId="6981E3F6">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十三、国有资产占用情况说明</w:t>
      </w:r>
    </w:p>
    <w:p w14:paraId="36DC209F">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十四、预算绩效情况说明</w:t>
      </w:r>
    </w:p>
    <w:p w14:paraId="73315BBB">
      <w:pPr>
        <w:pStyle w:val="29"/>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第三部分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名词解释</w:t>
      </w:r>
    </w:p>
    <w:p w14:paraId="049E59F5">
      <w:pPr>
        <w:pStyle w:val="29"/>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第四部分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决算公开联系方式及信息反馈渠道</w:t>
      </w:r>
    </w:p>
    <w:p w14:paraId="069994E9">
      <w:pPr>
        <w:pStyle w:val="29"/>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第五部分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部门（单位）决算表</w:t>
      </w:r>
    </w:p>
    <w:p w14:paraId="12F7B71D">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一、收入支出决算总表</w:t>
      </w:r>
    </w:p>
    <w:p w14:paraId="5D8EFA52">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二、收入决算表</w:t>
      </w:r>
    </w:p>
    <w:p w14:paraId="38B44B0E">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三、支出决算表</w:t>
      </w:r>
    </w:p>
    <w:p w14:paraId="0C16F7DB">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四、财政拨款收入支出决算总表</w:t>
      </w:r>
    </w:p>
    <w:p w14:paraId="37CAD31E">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五、一般公共预算财政拨款支出决算表</w:t>
      </w:r>
    </w:p>
    <w:p w14:paraId="5C544DE6">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六、一般公共预算财政拨款基本支出决算明细表</w:t>
      </w:r>
    </w:p>
    <w:p w14:paraId="6A8E9D20">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七、一般公共预算财政拨款项目支出决算明细表</w:t>
      </w:r>
    </w:p>
    <w:p w14:paraId="32223DC6">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八、政府性基金预算财政拨款收入支出决算表</w:t>
      </w:r>
    </w:p>
    <w:p w14:paraId="6F2B3C92">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九、国有资本经营预算财政拨款收入支出决算表</w:t>
      </w:r>
    </w:p>
    <w:p w14:paraId="6481F291">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十、财政拨款“三公”经费支出决算表</w:t>
      </w:r>
    </w:p>
    <w:p w14:paraId="26EB300A">
      <w:pPr>
        <w:pStyle w:val="29"/>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十一、机关运行经费支出、国有资产占用情况及政府采购支出信息表</w:t>
      </w:r>
    </w:p>
    <w:p w14:paraId="5525A775">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51E9D1E4">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1FFA58D2">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747F547A">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6007B4ED">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72F22E57">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63FAC55B">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1146A767">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24BE9E0C">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7B5803AA">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2A5C1BCD">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31715E3F">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4F675AC5">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7A42D217">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76EC5033">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07796388">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2C84A5BF">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3E07A57D">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b w:val="0"/>
          <w:bCs w:val="0"/>
          <w:kern w:val="0"/>
          <w:sz w:val="36"/>
          <w:szCs w:val="36"/>
        </w:rPr>
        <w:t>第一部分</w:t>
      </w:r>
      <w:r>
        <w:rPr>
          <w:rFonts w:ascii="方正小标宋简体" w:hAnsi="方正小标宋简体" w:eastAsia="方正小标宋简体" w:cs="方正小标宋简体"/>
          <w:b w:val="0"/>
          <w:bCs w:val="0"/>
          <w:kern w:val="0"/>
          <w:sz w:val="36"/>
          <w:szCs w:val="36"/>
          <w:lang w:eastAsia="en-US"/>
        </w:rPr>
        <w:t xml:space="preserve">  </w:t>
      </w:r>
      <w:r>
        <w:rPr>
          <w:rFonts w:ascii="方正小标宋简体" w:hAnsi="方正小标宋简体" w:eastAsia="方正小标宋简体" w:cs="方正小标宋简体"/>
          <w:b w:val="0"/>
          <w:bCs w:val="0"/>
          <w:kern w:val="0"/>
          <w:sz w:val="36"/>
          <w:szCs w:val="36"/>
        </w:rPr>
        <w:t>部门（单位）概况</w:t>
      </w:r>
    </w:p>
    <w:p w14:paraId="683E11F4">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一、主要职能、职责</w:t>
      </w:r>
    </w:p>
    <w:p w14:paraId="269A457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(一)牢牢把握铸牢中华民族共同体意识工作主线，将之贯穿于城市生活垃圾分类、市政公用事业服务及自身建设等全过程各方面。</w:t>
      </w:r>
    </w:p>
    <w:p w14:paraId="5EC28F4D">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(二)参与拟定城市生活垃圾分类投放、分类收集、分类转运、分类处置相关政策法规、标准规范、制度计划和年度计划。</w:t>
      </w:r>
    </w:p>
    <w:p w14:paraId="6F301DFF">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(三)开展城市生活垃圾分类的宣传、教育、培训、技术引进、应用以及推广实施等工作。</w:t>
      </w:r>
    </w:p>
    <w:p w14:paraId="7B2972B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（四)承担城市生活垃圾分类考核评价的辅助性工作。</w:t>
      </w:r>
    </w:p>
    <w:p w14:paraId="4F32EAB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(五)承担城市环卫设施的建设、运营、管理的技术支持和辅助性工作。</w:t>
      </w:r>
    </w:p>
    <w:p w14:paraId="28FC4317">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(六)参与全市城市和村镇建设管理方面的政策研究。</w:t>
      </w:r>
    </w:p>
    <w:p w14:paraId="1438C97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(七)承担城镇供排水、环卫、园林、垃圾处理等基础设施建设、安全运行管理以及公用事业发展等方面的服务保障工作。</w:t>
      </w:r>
    </w:p>
    <w:p w14:paraId="7B15CB5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(八)承担住建部门负责的历史文化名城（镇、村）、街区和历史建筑保护以及城市双修、城市设计、城市的技术支持和服务保障工作。</w:t>
      </w:r>
    </w:p>
    <w:p w14:paraId="7C52BC4C">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(九)承担全市城镇供排水水质监测和黑臭水体的调查和统计分析工作。</w:t>
      </w:r>
    </w:p>
    <w:p w14:paraId="325310A5">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(十)承担全市小城镇、村庄建设的技术服务和政策研究基础工作以及农村牧区改厕的技术支持和服务保障。</w:t>
      </w:r>
    </w:p>
    <w:p w14:paraId="1652053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(十一)承担全市数字化城市管理平台建设的技术支持和服务保障工作。</w:t>
      </w:r>
    </w:p>
    <w:p w14:paraId="083B4BFC">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(十二)承担市住房和城乡建设局交办的其他任务。</w:t>
      </w:r>
    </w:p>
    <w:p w14:paraId="06D5B9C9">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二、部门（单位）机构设置及决算单位构成情况</w:t>
      </w:r>
    </w:p>
    <w:p w14:paraId="7E124743">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en-US" w:bidi="ar-SA"/>
        </w:rPr>
        <w:t>1.</w:t>
      </w:r>
      <w:r>
        <w:rPr>
          <w:rFonts w:hint="eastAsia" w:ascii="FangSong_GB2312" w:hAnsi="FangSong_GB2312" w:eastAsia="FangSong_GB2312" w:cs="FangSong_GB2312"/>
          <w:kern w:val="0"/>
          <w:sz w:val="32"/>
          <w:szCs w:val="32"/>
          <w:lang w:val="en-US" w:eastAsia="zh-CN" w:bidi="ar-SA"/>
        </w:rPr>
        <w:t>根据本单位职责分工，本单位内设机构共计1家。本单位无下属单位。</w:t>
      </w:r>
    </w:p>
    <w:p w14:paraId="556A0545">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en-US" w:bidi="ar-SA"/>
        </w:rPr>
        <w:t>2.</w:t>
      </w:r>
      <w:r>
        <w:rPr>
          <w:rFonts w:hint="eastAsia" w:ascii="FangSong_GB2312" w:hAnsi="FangSong_GB2312" w:eastAsia="FangSong_GB2312" w:cs="FangSong_GB2312"/>
          <w:kern w:val="0"/>
          <w:sz w:val="32"/>
          <w:szCs w:val="32"/>
          <w:lang w:val="en-US" w:eastAsia="zh-CN" w:bidi="ar-SA"/>
        </w:rPr>
        <w:t>从决算单位构成看，纳入本单位决算编制范围的预算单位共计1家，具体包括：巴彦淖尔市城市生活垃圾分类指导中心。详细情况见表：</w:t>
      </w:r>
    </w:p>
    <w:tbl>
      <w:tblPr>
        <w:tblStyle w:val="19"/>
        <w:tblW w:w="7310" w:type="dxa"/>
        <w:jc w:val="center"/>
        <w:tblLayout w:type="fixed"/>
        <w:tblCellMar>
          <w:top w:w="15" w:type="dxa"/>
          <w:left w:w="15" w:type="dxa"/>
          <w:bottom w:w="15" w:type="dxa"/>
          <w:right w:w="15" w:type="dxa"/>
        </w:tblCellMar>
      </w:tblPr>
      <w:tblGrid>
        <w:gridCol w:w="563"/>
        <w:gridCol w:w="3492"/>
        <w:gridCol w:w="3255"/>
      </w:tblGrid>
      <w:tr w14:paraId="19B48B15">
        <w:tblPrEx>
          <w:tblCellMar>
            <w:top w:w="15" w:type="dxa"/>
            <w:left w:w="15" w:type="dxa"/>
            <w:bottom w:w="15" w:type="dxa"/>
            <w:right w:w="15" w:type="dxa"/>
          </w:tblCellMar>
        </w:tblPrEx>
        <w:trPr>
          <w:trHeight w:val="1110" w:hRule="atLeast"/>
          <w:tblHeader/>
          <w:jc w:val="center"/>
        </w:trPr>
        <w:tc>
          <w:tcPr>
            <w:tcW w:w="563"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6F376544">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序序号</w:t>
            </w:r>
          </w:p>
        </w:tc>
        <w:tc>
          <w:tcPr>
            <w:tcW w:w="3492"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02DFD7D3">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单位名称</w:t>
            </w:r>
          </w:p>
        </w:tc>
        <w:tc>
          <w:tcPr>
            <w:tcW w:w="3255"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2BFD8B7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单位性质</w:t>
            </w:r>
          </w:p>
        </w:tc>
      </w:tr>
      <w:tr w14:paraId="09EE3493">
        <w:tblPrEx>
          <w:tblCellMar>
            <w:top w:w="15" w:type="dxa"/>
            <w:left w:w="15" w:type="dxa"/>
            <w:bottom w:w="15" w:type="dxa"/>
            <w:right w:w="15" w:type="dxa"/>
          </w:tblCellMar>
        </w:tblPrEx>
        <w:trPr>
          <w:trHeight w:val="368" w:hRule="atLeast"/>
          <w:jc w:val="center"/>
        </w:trPr>
        <w:tc>
          <w:tcPr>
            <w:tcW w:w="563"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3CCB68A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11</w:t>
            </w:r>
          </w:p>
        </w:tc>
        <w:tc>
          <w:tcPr>
            <w:tcW w:w="3492"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36AE90ED">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巴彦淖尔市城市生活垃圾分类指导中心</w:t>
            </w:r>
          </w:p>
        </w:tc>
        <w:tc>
          <w:tcPr>
            <w:tcW w:w="3255"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47790840">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公益一类事业单位</w:t>
            </w:r>
          </w:p>
        </w:tc>
      </w:tr>
    </w:tbl>
    <w:p w14:paraId="12A12D11">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w:t>
      </w:r>
      <w:r>
        <w:rPr>
          <w:rFonts w:eastAsia="Times New Roman"/>
          <w:b/>
          <w:bCs/>
          <w:kern w:val="0"/>
          <w:sz w:val="32"/>
          <w:szCs w:val="32"/>
          <w:lang w:eastAsia="en-US"/>
        </w:rPr>
        <w:t>2025</w:t>
      </w:r>
      <w:r>
        <w:rPr>
          <w:rFonts w:ascii="黑体" w:hAnsi="黑体" w:eastAsia="黑体" w:cs="黑体"/>
          <w:b/>
          <w:bCs/>
          <w:kern w:val="0"/>
          <w:sz w:val="32"/>
          <w:szCs w:val="32"/>
        </w:rPr>
        <w:t>年度部门（单位）主要工作完成情况</w:t>
      </w:r>
    </w:p>
    <w:p w14:paraId="2A42A449">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en-US" w:bidi="ar-SA"/>
        </w:rPr>
        <w:t> </w:t>
      </w:r>
      <w:r>
        <w:rPr>
          <w:rFonts w:hint="eastAsia" w:ascii="FangSong_GB2312" w:hAnsi="FangSong_GB2312" w:eastAsia="FangSong_GB2312" w:cs="FangSong_GB2312"/>
          <w:kern w:val="0"/>
          <w:sz w:val="32"/>
          <w:szCs w:val="32"/>
          <w:lang w:val="en-US" w:eastAsia="zh-CN" w:bidi="ar-SA"/>
        </w:rPr>
        <w:t>1、</w:t>
      </w:r>
      <w:r>
        <w:rPr>
          <w:rFonts w:hint="eastAsia" w:ascii="FangSong_GB2312" w:hAnsi="FangSong_GB2312" w:eastAsia="FangSong_GB2312" w:cs="FangSong_GB2312"/>
          <w:kern w:val="0"/>
          <w:sz w:val="32"/>
          <w:szCs w:val="32"/>
          <w:lang w:val="en-US" w:eastAsia="en-US" w:bidi="ar-SA"/>
        </w:rPr>
        <w:t xml:space="preserve">  </w:t>
      </w:r>
      <w:r>
        <w:rPr>
          <w:rFonts w:hint="eastAsia" w:ascii="FangSong_GB2312" w:hAnsi="FangSong_GB2312" w:eastAsia="FangSong_GB2312" w:cs="FangSong_GB2312"/>
          <w:kern w:val="0"/>
          <w:sz w:val="32"/>
          <w:szCs w:val="32"/>
          <w:lang w:val="en-US" w:eastAsia="zh-CN" w:bidi="ar-SA"/>
        </w:rPr>
        <w:t>提升服务质量，推动城镇燃气工作。</w:t>
      </w:r>
      <w:r>
        <w:rPr>
          <w:rFonts w:hint="eastAsia" w:ascii="FangSong_GB2312" w:hAnsi="FangSong_GB2312" w:eastAsia="FangSong_GB2312" w:cs="FangSong_GB2312"/>
          <w:kern w:val="0"/>
          <w:sz w:val="32"/>
          <w:szCs w:val="32"/>
          <w:lang w:val="en-US" w:eastAsia="en-US" w:bidi="ar-SA"/>
        </w:rPr>
        <w:t>一是组织全市燃气行业培训。对全市燃气行业主管部门、燃气企业主要负责人及液化石油气配送人员开展燃气安全培训。</w:t>
      </w:r>
      <w:r>
        <w:rPr>
          <w:rFonts w:hint="eastAsia" w:ascii="FangSong_GB2312" w:hAnsi="FangSong_GB2312" w:eastAsia="FangSong_GB2312" w:cs="FangSong_GB2312"/>
          <w:kern w:val="0"/>
          <w:sz w:val="32"/>
          <w:szCs w:val="32"/>
          <w:lang w:val="en-US" w:eastAsia="zh-CN" w:bidi="ar-SA"/>
        </w:rPr>
        <w:t>二</w:t>
      </w:r>
      <w:r>
        <w:rPr>
          <w:rFonts w:hint="eastAsia" w:ascii="FangSong_GB2312" w:hAnsi="FangSong_GB2312" w:eastAsia="FangSong_GB2312" w:cs="FangSong_GB2312"/>
          <w:kern w:val="0"/>
          <w:sz w:val="32"/>
          <w:szCs w:val="32"/>
          <w:lang w:val="en-US" w:eastAsia="en-US" w:bidi="ar-SA"/>
        </w:rPr>
        <w:t>是</w:t>
      </w:r>
      <w:r>
        <w:rPr>
          <w:rFonts w:hint="eastAsia" w:ascii="FangSong_GB2312" w:hAnsi="FangSong_GB2312" w:eastAsia="FangSong_GB2312" w:cs="FangSong_GB2312"/>
          <w:kern w:val="0"/>
          <w:sz w:val="32"/>
          <w:szCs w:val="32"/>
          <w:lang w:val="en-US" w:eastAsia="zh-CN" w:bidi="ar-SA"/>
        </w:rPr>
        <w:t>组织开展燃气企业换证工作。根据内蒙古自治区住房和城乡建设厅《关于进一步优化规范燃气经营许可办理有关事项的通知》文件要求，及时开展燃气经营许可证换证工作，</w:t>
      </w:r>
      <w:r>
        <w:rPr>
          <w:rFonts w:hint="eastAsia" w:ascii="FangSong_GB2312" w:hAnsi="FangSong_GB2312" w:eastAsia="FangSong_GB2312" w:cs="FangSong_GB2312"/>
          <w:kern w:val="0"/>
          <w:sz w:val="32"/>
          <w:szCs w:val="32"/>
          <w:lang w:val="en-US" w:eastAsia="en-US" w:bidi="ar-SA"/>
        </w:rPr>
        <w:t>规范燃气经营许可管理，</w:t>
      </w:r>
      <w:r>
        <w:rPr>
          <w:rFonts w:hint="eastAsia" w:ascii="FangSong_GB2312" w:hAnsi="FangSong_GB2312" w:eastAsia="FangSong_GB2312" w:cs="FangSong_GB2312"/>
          <w:kern w:val="0"/>
          <w:sz w:val="32"/>
          <w:szCs w:val="32"/>
          <w:lang w:val="en-US" w:eastAsia="zh-CN" w:bidi="ar-SA"/>
        </w:rPr>
        <w:t>三是开展城镇燃气管道“带病运行”问题专项整治。</w:t>
      </w:r>
      <w:r>
        <w:rPr>
          <w:rFonts w:hint="eastAsia" w:ascii="FangSong_GB2312" w:hAnsi="FangSong_GB2312" w:eastAsia="FangSong_GB2312" w:cs="FangSong_GB2312"/>
          <w:kern w:val="0"/>
          <w:sz w:val="32"/>
          <w:szCs w:val="32"/>
          <w:lang w:val="en-US" w:eastAsia="en-US" w:bidi="ar-SA"/>
        </w:rPr>
        <w:t>为推动城镇燃气安全运行，我市制定印发《巴彦淖尔市城镇燃气管道“带病运行”专项整治实施方案》，指导督促各旗县区及管道燃气企业开展燃气管道“带病运行”专项整治工作。</w:t>
      </w:r>
    </w:p>
    <w:p w14:paraId="69535686">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2、提升供热质量，推进“温暖工程”项目。我市供热温暖工程提前统筹谋划，立足“早”字当头，狠抓“实”字落地。按照《巴彦淖尔市供热温暖工程实施方案》，在充分细致摸底排查的基础上，围绕“强化热源保障、加快热网更新、推动热力站升级、延伸用户端改造、推动智能化建设、健全处置机制、实施清洁取暖”7个方面，科学谋划。</w:t>
      </w:r>
    </w:p>
    <w:p w14:paraId="26BA766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zh-CN" w:bidi="ar-SA"/>
        </w:rPr>
        <w:t>3、提升管理水平，推动垃圾分类工作。一是优化评估方法，按照新的考核评估细则按季度对临河区开展生活垃圾分类工作督导工作；二是制定年度计划，制定印发《巴彦淖尔市2025年城镇生活垃圾分类工作计划》和《巴彦淖尔市生活垃圾分类宣传工作方案》；三是组织召开全市生活垃圾分类工作现场培训会，逐步提升垃圾分类工作人员业务能力，引导大家树立垃圾分类工作需要各方努力、协同发力的意识。四是开展垃圾分类宣传，以巴彦淖尔市第三届城市生活垃圾分类宣传周活动为契机，5月份在巴彦淖尔市临河区文博广场举办第二届城市生活垃圾分类宣传周活动。</w:t>
      </w:r>
    </w:p>
    <w:p w14:paraId="09285711">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第二部分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部门（单位）决算情况说明</w:t>
      </w:r>
    </w:p>
    <w:p w14:paraId="388921C2">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一、收入支出决算总体情况说明</w:t>
      </w:r>
    </w:p>
    <w:p w14:paraId="34BA4739">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xml:space="preserve">巴彦淖尔市城市生活垃圾分类指导中心 </w:t>
      </w:r>
      <w:r>
        <w:rPr>
          <w:rFonts w:hint="eastAsia" w:ascii="FangSong_GB2312" w:hAnsi="FangSong_GB2312" w:eastAsia="FangSong_GB2312" w:cs="FangSong_GB2312"/>
          <w:kern w:val="0"/>
          <w:sz w:val="32"/>
          <w:szCs w:val="32"/>
          <w:lang w:val="en-US" w:eastAsia="en-US" w:bidi="ar-SA"/>
        </w:rPr>
        <w:t>2025</w:t>
      </w:r>
      <w:r>
        <w:rPr>
          <w:rFonts w:hint="eastAsia" w:ascii="FangSong_GB2312" w:hAnsi="FangSong_GB2312" w:eastAsia="FangSong_GB2312" w:cs="FangSong_GB2312"/>
          <w:kern w:val="0"/>
          <w:sz w:val="32"/>
          <w:szCs w:val="32"/>
          <w:lang w:val="en-US" w:eastAsia="zh-CN" w:bidi="ar-SA"/>
        </w:rPr>
        <w:t>年度收入、支出决算总计均为</w:t>
      </w:r>
      <w:r>
        <w:rPr>
          <w:rFonts w:hint="eastAsia" w:ascii="FangSong_GB2312" w:hAnsi="FangSong_GB2312" w:eastAsia="FangSong_GB2312" w:cs="FangSong_GB2312"/>
          <w:kern w:val="0"/>
          <w:sz w:val="32"/>
          <w:szCs w:val="32"/>
          <w:lang w:val="en-US" w:eastAsia="en-US" w:bidi="ar-SA"/>
        </w:rPr>
        <w:t xml:space="preserve"> 231.32</w:t>
      </w:r>
      <w:r>
        <w:rPr>
          <w:rFonts w:hint="eastAsia" w:ascii="FangSong_GB2312" w:hAnsi="FangSong_GB2312" w:eastAsia="FangSong_GB2312" w:cs="FangSong_GB2312"/>
          <w:kern w:val="0"/>
          <w:sz w:val="32"/>
          <w:szCs w:val="32"/>
          <w:lang w:val="en-US" w:eastAsia="zh-CN" w:bidi="ar-SA"/>
        </w:rPr>
        <w:t>万元。与年初预算相比，收、支总计各增加6.74万元，增长3</w:t>
      </w:r>
      <w:r>
        <w:rPr>
          <w:rFonts w:hint="eastAsia" w:ascii="FangSong_GB2312" w:hAnsi="FangSong_GB2312" w:eastAsia="FangSong_GB2312" w:cs="FangSong_GB2312"/>
          <w:kern w:val="0"/>
          <w:sz w:val="32"/>
          <w:szCs w:val="32"/>
          <w:lang w:val="en-US" w:eastAsia="en-US" w:bidi="ar-SA"/>
        </w:rPr>
        <w:t>%</w:t>
      </w:r>
      <w:r>
        <w:rPr>
          <w:rFonts w:hint="eastAsia" w:ascii="FangSong_GB2312" w:hAnsi="FangSong_GB2312" w:eastAsia="FangSong_GB2312" w:cs="FangSong_GB2312"/>
          <w:kern w:val="0"/>
          <w:sz w:val="32"/>
          <w:szCs w:val="32"/>
          <w:lang w:val="en-US" w:eastAsia="zh-CN" w:bidi="ar-SA"/>
        </w:rPr>
        <w:t>，变动原因：25年新考录人员1名、在职职工保险基数调整，各项社保支出增加；与上年决算相比，收、支总计各增加</w:t>
      </w:r>
      <w:r>
        <w:rPr>
          <w:rFonts w:hint="eastAsia" w:ascii="FangSong_GB2312" w:hAnsi="FangSong_GB2312" w:eastAsia="FangSong_GB2312" w:cs="FangSong_GB2312"/>
          <w:kern w:val="0"/>
          <w:sz w:val="32"/>
          <w:szCs w:val="32"/>
          <w:lang w:val="en-US" w:eastAsia="en-US" w:bidi="ar-SA"/>
        </w:rPr>
        <w:t xml:space="preserve"> 0.39</w:t>
      </w:r>
      <w:r>
        <w:rPr>
          <w:rFonts w:hint="eastAsia" w:ascii="FangSong_GB2312" w:hAnsi="FangSong_GB2312" w:eastAsia="FangSong_GB2312" w:cs="FangSong_GB2312"/>
          <w:kern w:val="0"/>
          <w:sz w:val="32"/>
          <w:szCs w:val="32"/>
          <w:lang w:val="en-US" w:eastAsia="zh-CN" w:bidi="ar-SA"/>
        </w:rPr>
        <w:t>万元，增长</w:t>
      </w:r>
      <w:r>
        <w:rPr>
          <w:rFonts w:hint="eastAsia" w:ascii="FangSong_GB2312" w:hAnsi="FangSong_GB2312" w:eastAsia="FangSong_GB2312" w:cs="FangSong_GB2312"/>
          <w:kern w:val="0"/>
          <w:sz w:val="32"/>
          <w:szCs w:val="32"/>
          <w:lang w:val="en-US" w:eastAsia="en-US" w:bidi="ar-SA"/>
        </w:rPr>
        <w:t xml:space="preserve"> 0.17%</w:t>
      </w:r>
      <w:r>
        <w:rPr>
          <w:rFonts w:hint="eastAsia" w:ascii="FangSong_GB2312" w:hAnsi="FangSong_GB2312" w:eastAsia="FangSong_GB2312" w:cs="FangSong_GB2312"/>
          <w:kern w:val="0"/>
          <w:sz w:val="32"/>
          <w:szCs w:val="32"/>
          <w:lang w:val="en-US" w:eastAsia="zh-CN" w:bidi="ar-SA"/>
        </w:rPr>
        <w:t>。其中：</w:t>
      </w:r>
    </w:p>
    <w:p w14:paraId="0EAE1296">
      <w:pPr>
        <w:pStyle w:val="29"/>
        <w:widowControl/>
        <w:spacing w:before="240" w:after="240" w:line="560" w:lineRule="atLeast"/>
        <w:ind w:firstLine="643"/>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（一）收入决算总计</w:t>
      </w:r>
      <w:r>
        <w:rPr>
          <w:rFonts w:hint="eastAsia" w:ascii="FangSong_GB2312" w:hAnsi="FangSong_GB2312" w:eastAsia="FangSong_GB2312" w:cs="FangSong_GB2312"/>
          <w:kern w:val="0"/>
          <w:sz w:val="32"/>
          <w:szCs w:val="32"/>
          <w:lang w:val="en-US" w:eastAsia="en-US" w:bidi="ar-SA"/>
        </w:rPr>
        <w:t xml:space="preserve"> 231.32</w:t>
      </w:r>
      <w:r>
        <w:rPr>
          <w:rFonts w:hint="eastAsia" w:ascii="FangSong_GB2312" w:hAnsi="FangSong_GB2312" w:eastAsia="FangSong_GB2312" w:cs="FangSong_GB2312"/>
          <w:kern w:val="0"/>
          <w:sz w:val="32"/>
          <w:szCs w:val="32"/>
          <w:lang w:val="en-US" w:eastAsia="zh-CN" w:bidi="ar-SA"/>
        </w:rPr>
        <w:t>万元。包括：</w:t>
      </w:r>
    </w:p>
    <w:p w14:paraId="6AB746A8">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en-US" w:bidi="ar-SA"/>
        </w:rPr>
        <w:t>1.</w:t>
      </w:r>
      <w:r>
        <w:rPr>
          <w:rFonts w:hint="eastAsia" w:ascii="FangSong_GB2312" w:hAnsi="FangSong_GB2312" w:eastAsia="FangSong_GB2312" w:cs="FangSong_GB2312"/>
          <w:kern w:val="0"/>
          <w:sz w:val="32"/>
          <w:szCs w:val="32"/>
          <w:lang w:val="en-US" w:eastAsia="zh-CN" w:bidi="ar-SA"/>
        </w:rPr>
        <w:t>本年收入决算合计</w:t>
      </w:r>
      <w:r>
        <w:rPr>
          <w:rFonts w:hint="eastAsia" w:ascii="FangSong_GB2312" w:hAnsi="FangSong_GB2312" w:eastAsia="FangSong_GB2312" w:cs="FangSong_GB2312"/>
          <w:kern w:val="0"/>
          <w:sz w:val="32"/>
          <w:szCs w:val="32"/>
          <w:lang w:val="en-US" w:eastAsia="en-US" w:bidi="ar-SA"/>
        </w:rPr>
        <w:t xml:space="preserve"> 231.32</w:t>
      </w:r>
      <w:r>
        <w:rPr>
          <w:rFonts w:hint="eastAsia" w:ascii="FangSong_GB2312" w:hAnsi="FangSong_GB2312" w:eastAsia="FangSong_GB2312" w:cs="FangSong_GB2312"/>
          <w:kern w:val="0"/>
          <w:sz w:val="32"/>
          <w:szCs w:val="32"/>
          <w:lang w:val="en-US" w:eastAsia="zh-CN" w:bidi="ar-SA"/>
        </w:rPr>
        <w:t>万元。与上年决算相比，增加</w:t>
      </w:r>
      <w:r>
        <w:rPr>
          <w:rFonts w:hint="eastAsia" w:ascii="FangSong_GB2312" w:hAnsi="FangSong_GB2312" w:eastAsia="FangSong_GB2312" w:cs="FangSong_GB2312"/>
          <w:kern w:val="0"/>
          <w:sz w:val="32"/>
          <w:szCs w:val="32"/>
          <w:lang w:val="en-US" w:eastAsia="en-US" w:bidi="ar-SA"/>
        </w:rPr>
        <w:t xml:space="preserve"> 0.39</w:t>
      </w:r>
      <w:r>
        <w:rPr>
          <w:rFonts w:hint="eastAsia" w:ascii="FangSong_GB2312" w:hAnsi="FangSong_GB2312" w:eastAsia="FangSong_GB2312" w:cs="FangSong_GB2312"/>
          <w:kern w:val="0"/>
          <w:sz w:val="32"/>
          <w:szCs w:val="32"/>
          <w:lang w:val="en-US" w:eastAsia="zh-CN" w:bidi="ar-SA"/>
        </w:rPr>
        <w:t>万元，增长</w:t>
      </w:r>
      <w:r>
        <w:rPr>
          <w:rFonts w:hint="eastAsia" w:ascii="FangSong_GB2312" w:hAnsi="FangSong_GB2312" w:eastAsia="FangSong_GB2312" w:cs="FangSong_GB2312"/>
          <w:kern w:val="0"/>
          <w:sz w:val="32"/>
          <w:szCs w:val="32"/>
          <w:lang w:val="en-US" w:eastAsia="en-US" w:bidi="ar-SA"/>
        </w:rPr>
        <w:t xml:space="preserve"> 0.17%</w:t>
      </w:r>
      <w:r>
        <w:rPr>
          <w:rFonts w:hint="eastAsia" w:ascii="FangSong_GB2312" w:hAnsi="FangSong_GB2312" w:eastAsia="FangSong_GB2312" w:cs="FangSong_GB2312"/>
          <w:kern w:val="0"/>
          <w:sz w:val="32"/>
          <w:szCs w:val="32"/>
          <w:lang w:val="en-US" w:eastAsia="zh-CN" w:bidi="ar-SA"/>
        </w:rPr>
        <w:t>，变动原因：25年新考录人员1名、在职职工保险基数调整，各项社保支出增加。</w:t>
      </w:r>
    </w:p>
    <w:p w14:paraId="1CFED4B8">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en-US" w:bidi="ar-SA"/>
        </w:rPr>
        <w:t>2.</w:t>
      </w:r>
      <w:r>
        <w:rPr>
          <w:rFonts w:hint="eastAsia" w:ascii="FangSong_GB2312" w:hAnsi="FangSong_GB2312" w:eastAsia="FangSong_GB2312" w:cs="FangSong_GB2312"/>
          <w:kern w:val="0"/>
          <w:sz w:val="32"/>
          <w:szCs w:val="32"/>
          <w:lang w:val="en-US" w:eastAsia="zh-CN" w:bidi="ar-SA"/>
        </w:rPr>
        <w:t>使用非财政拨款结余（含专用结余）</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万元。与上年决算相比，增加</w:t>
      </w:r>
      <w:r>
        <w:rPr>
          <w:rFonts w:hint="eastAsia" w:ascii="FangSong_GB2312" w:hAnsi="FangSong_GB2312" w:eastAsia="FangSong_GB2312" w:cs="FangSong_GB2312"/>
          <w:kern w:val="0"/>
          <w:sz w:val="32"/>
          <w:szCs w:val="32"/>
          <w:lang w:val="en-US" w:eastAsia="en-US" w:bidi="ar-SA"/>
        </w:rPr>
        <w:t>0</w:t>
      </w:r>
      <w:r>
        <w:rPr>
          <w:rFonts w:hint="eastAsia" w:ascii="FangSong_GB2312" w:hAnsi="FangSong_GB2312" w:eastAsia="FangSong_GB2312" w:cs="FangSong_GB2312"/>
          <w:kern w:val="0"/>
          <w:sz w:val="32"/>
          <w:szCs w:val="32"/>
          <w:lang w:val="en-US" w:eastAsia="zh-CN" w:bidi="ar-SA"/>
        </w:rPr>
        <w:t>万元，增长</w:t>
      </w:r>
      <w:r>
        <w:rPr>
          <w:rFonts w:hint="eastAsia" w:ascii="FangSong_GB2312" w:hAnsi="FangSong_GB2312" w:eastAsia="FangSong_GB2312" w:cs="FangSong_GB2312"/>
          <w:kern w:val="0"/>
          <w:sz w:val="32"/>
          <w:szCs w:val="32"/>
          <w:lang w:val="en-US" w:eastAsia="en-US" w:bidi="ar-SA"/>
        </w:rPr>
        <w:t>0%</w:t>
      </w:r>
      <w:r>
        <w:rPr>
          <w:rFonts w:hint="eastAsia" w:ascii="FangSong_GB2312" w:hAnsi="FangSong_GB2312" w:eastAsia="FangSong_GB2312" w:cs="FangSong_GB2312"/>
          <w:kern w:val="0"/>
          <w:sz w:val="32"/>
          <w:szCs w:val="32"/>
          <w:lang w:val="en-US" w:eastAsia="zh-CN" w:bidi="ar-SA"/>
        </w:rPr>
        <w:t>。</w:t>
      </w:r>
    </w:p>
    <w:p w14:paraId="7EF6AEE3">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en-US" w:bidi="ar-SA"/>
        </w:rPr>
        <w:t>3.</w:t>
      </w:r>
      <w:r>
        <w:rPr>
          <w:rFonts w:hint="eastAsia" w:ascii="FangSong_GB2312" w:hAnsi="FangSong_GB2312" w:eastAsia="FangSong_GB2312" w:cs="FangSong_GB2312"/>
          <w:kern w:val="0"/>
          <w:sz w:val="32"/>
          <w:szCs w:val="32"/>
          <w:lang w:val="en-US" w:eastAsia="zh-CN" w:bidi="ar-SA"/>
        </w:rPr>
        <w:t>年初结转和结余</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万元。与上年决算相比，增加</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万元，增长</w:t>
      </w:r>
      <w:r>
        <w:rPr>
          <w:rFonts w:hint="eastAsia" w:ascii="FangSong_GB2312" w:hAnsi="FangSong_GB2312" w:eastAsia="FangSong_GB2312" w:cs="FangSong_GB2312"/>
          <w:kern w:val="0"/>
          <w:sz w:val="32"/>
          <w:szCs w:val="32"/>
          <w:lang w:val="en-US" w:eastAsia="en-US" w:bidi="ar-SA"/>
        </w:rPr>
        <w:t>0%</w:t>
      </w:r>
      <w:r>
        <w:rPr>
          <w:rFonts w:hint="eastAsia" w:ascii="FangSong_GB2312" w:hAnsi="FangSong_GB2312" w:eastAsia="FangSong_GB2312" w:cs="FangSong_GB2312"/>
          <w:kern w:val="0"/>
          <w:sz w:val="32"/>
          <w:szCs w:val="32"/>
          <w:lang w:val="en-US" w:eastAsia="zh-CN" w:bidi="ar-SA"/>
        </w:rPr>
        <w:t>。</w:t>
      </w:r>
    </w:p>
    <w:p w14:paraId="13F2F418">
      <w:pPr>
        <w:pStyle w:val="29"/>
        <w:widowControl/>
        <w:spacing w:before="240" w:after="240" w:line="560" w:lineRule="atLeast"/>
        <w:ind w:firstLine="643"/>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（二）支出决算总计</w:t>
      </w:r>
      <w:r>
        <w:rPr>
          <w:rFonts w:hint="eastAsia" w:ascii="FangSong_GB2312" w:hAnsi="FangSong_GB2312" w:eastAsia="FangSong_GB2312" w:cs="FangSong_GB2312"/>
          <w:kern w:val="0"/>
          <w:sz w:val="32"/>
          <w:szCs w:val="32"/>
          <w:lang w:val="en-US" w:eastAsia="en-US" w:bidi="ar-SA"/>
        </w:rPr>
        <w:t xml:space="preserve"> 231.32</w:t>
      </w:r>
      <w:r>
        <w:rPr>
          <w:rFonts w:hint="eastAsia" w:ascii="FangSong_GB2312" w:hAnsi="FangSong_GB2312" w:eastAsia="FangSong_GB2312" w:cs="FangSong_GB2312"/>
          <w:kern w:val="0"/>
          <w:sz w:val="32"/>
          <w:szCs w:val="32"/>
          <w:lang w:val="en-US" w:eastAsia="zh-CN" w:bidi="ar-SA"/>
        </w:rPr>
        <w:t>万元。包括：</w:t>
      </w:r>
    </w:p>
    <w:p w14:paraId="5AAE33E9">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en-US" w:bidi="ar-SA"/>
        </w:rPr>
        <w:t>1.</w:t>
      </w:r>
      <w:r>
        <w:rPr>
          <w:rFonts w:hint="eastAsia" w:ascii="FangSong_GB2312" w:hAnsi="FangSong_GB2312" w:eastAsia="FangSong_GB2312" w:cs="FangSong_GB2312"/>
          <w:kern w:val="0"/>
          <w:sz w:val="32"/>
          <w:szCs w:val="32"/>
          <w:lang w:val="en-US" w:eastAsia="zh-CN" w:bidi="ar-SA"/>
        </w:rPr>
        <w:t>本年支出决算合计</w:t>
      </w:r>
      <w:r>
        <w:rPr>
          <w:rFonts w:hint="eastAsia" w:ascii="FangSong_GB2312" w:hAnsi="FangSong_GB2312" w:eastAsia="FangSong_GB2312" w:cs="FangSong_GB2312"/>
          <w:kern w:val="0"/>
          <w:sz w:val="32"/>
          <w:szCs w:val="32"/>
          <w:lang w:val="en-US" w:eastAsia="en-US" w:bidi="ar-SA"/>
        </w:rPr>
        <w:t xml:space="preserve"> 231.32</w:t>
      </w:r>
      <w:r>
        <w:rPr>
          <w:rFonts w:hint="eastAsia" w:ascii="FangSong_GB2312" w:hAnsi="FangSong_GB2312" w:eastAsia="FangSong_GB2312" w:cs="FangSong_GB2312"/>
          <w:kern w:val="0"/>
          <w:sz w:val="32"/>
          <w:szCs w:val="32"/>
          <w:lang w:val="en-US" w:eastAsia="zh-CN" w:bidi="ar-SA"/>
        </w:rPr>
        <w:t>万元。与上年决算相比，增加</w:t>
      </w:r>
      <w:r>
        <w:rPr>
          <w:rFonts w:hint="eastAsia" w:ascii="FangSong_GB2312" w:hAnsi="FangSong_GB2312" w:eastAsia="FangSong_GB2312" w:cs="FangSong_GB2312"/>
          <w:kern w:val="0"/>
          <w:sz w:val="32"/>
          <w:szCs w:val="32"/>
          <w:lang w:val="en-US" w:eastAsia="en-US" w:bidi="ar-SA"/>
        </w:rPr>
        <w:t>0.39</w:t>
      </w:r>
      <w:r>
        <w:rPr>
          <w:rFonts w:hint="eastAsia" w:ascii="FangSong_GB2312" w:hAnsi="FangSong_GB2312" w:eastAsia="FangSong_GB2312" w:cs="FangSong_GB2312"/>
          <w:kern w:val="0"/>
          <w:sz w:val="32"/>
          <w:szCs w:val="32"/>
          <w:lang w:val="en-US" w:eastAsia="zh-CN" w:bidi="ar-SA"/>
        </w:rPr>
        <w:t>万元，增长</w:t>
      </w:r>
      <w:r>
        <w:rPr>
          <w:rFonts w:hint="eastAsia" w:ascii="FangSong_GB2312" w:hAnsi="FangSong_GB2312" w:eastAsia="FangSong_GB2312" w:cs="FangSong_GB2312"/>
          <w:kern w:val="0"/>
          <w:sz w:val="32"/>
          <w:szCs w:val="32"/>
          <w:lang w:val="en-US" w:eastAsia="en-US" w:bidi="ar-SA"/>
        </w:rPr>
        <w:t xml:space="preserve"> 0.17%</w:t>
      </w:r>
      <w:r>
        <w:rPr>
          <w:rFonts w:hint="eastAsia" w:ascii="FangSong_GB2312" w:hAnsi="FangSong_GB2312" w:eastAsia="FangSong_GB2312" w:cs="FangSong_GB2312"/>
          <w:kern w:val="0"/>
          <w:sz w:val="32"/>
          <w:szCs w:val="32"/>
          <w:lang w:val="en-US" w:eastAsia="zh-CN" w:bidi="ar-SA"/>
        </w:rPr>
        <w:t>，变动原因：25年新考录人员1名、在职职工保险基数调整，各项社保支出增加。</w:t>
      </w:r>
    </w:p>
    <w:p w14:paraId="5BAAEE8B">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en-US" w:bidi="ar-SA"/>
        </w:rPr>
        <w:t>2.</w:t>
      </w:r>
      <w:r>
        <w:rPr>
          <w:rFonts w:hint="eastAsia" w:ascii="FangSong_GB2312" w:hAnsi="FangSong_GB2312" w:eastAsia="FangSong_GB2312" w:cs="FangSong_GB2312"/>
          <w:kern w:val="0"/>
          <w:sz w:val="32"/>
          <w:szCs w:val="32"/>
          <w:lang w:val="en-US" w:eastAsia="zh-CN" w:bidi="ar-SA"/>
        </w:rPr>
        <w:t>结余分配</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万元。与上年决算相比，增加</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万元，增长</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，变动原因：不存在此项。</w:t>
      </w:r>
    </w:p>
    <w:p w14:paraId="79664776">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en-US" w:bidi="ar-SA"/>
        </w:rPr>
        <w:t>3.</w:t>
      </w:r>
      <w:r>
        <w:rPr>
          <w:rFonts w:hint="eastAsia" w:ascii="FangSong_GB2312" w:hAnsi="FangSong_GB2312" w:eastAsia="FangSong_GB2312" w:cs="FangSong_GB2312"/>
          <w:kern w:val="0"/>
          <w:sz w:val="32"/>
          <w:szCs w:val="32"/>
          <w:lang w:val="en-US" w:eastAsia="zh-CN" w:bidi="ar-SA"/>
        </w:rPr>
        <w:t>年末结转和结余</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万元。与上年决算相比，增加0万元，增长0</w:t>
      </w:r>
      <w:r>
        <w:rPr>
          <w:rFonts w:hint="eastAsia" w:ascii="FangSong_GB2312" w:hAnsi="FangSong_GB2312" w:eastAsia="FangSong_GB2312" w:cs="FangSong_GB2312"/>
          <w:kern w:val="0"/>
          <w:sz w:val="32"/>
          <w:szCs w:val="32"/>
          <w:lang w:val="en-US" w:eastAsia="en-US" w:bidi="ar-SA"/>
        </w:rPr>
        <w:t>%</w:t>
      </w:r>
      <w:r>
        <w:rPr>
          <w:rFonts w:hint="eastAsia" w:ascii="FangSong_GB2312" w:hAnsi="FangSong_GB2312" w:eastAsia="FangSong_GB2312" w:cs="FangSong_GB2312"/>
          <w:kern w:val="0"/>
          <w:sz w:val="32"/>
          <w:szCs w:val="32"/>
          <w:lang w:val="en-US" w:eastAsia="zh-CN" w:bidi="ar-SA"/>
        </w:rPr>
        <w:t>，变动原因：不存在此项。</w:t>
      </w:r>
    </w:p>
    <w:p w14:paraId="272424BB">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二、收入决算情况说明</w:t>
      </w:r>
    </w:p>
    <w:p w14:paraId="0FA6C0BD">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en-US" w:bidi="ar-SA"/>
        </w:rPr>
        <w:t>巴彦淖尔市城市生活垃圾分类指导中心 2025年度本年收入决算合计 231.32万元，其中：</w:t>
      </w:r>
    </w:p>
    <w:p w14:paraId="36FC6098">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en-US" w:bidi="ar-SA"/>
        </w:rPr>
        <w:t>一般公共预算财政拨款收入 231.32万元，占 100.00%；</w:t>
      </w:r>
    </w:p>
    <w:p w14:paraId="33502C7C">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en-US" w:bidi="ar-SA"/>
        </w:rPr>
        <w:t>政府性基金预算财政拨款收入 0万元，占 0%；</w:t>
      </w:r>
    </w:p>
    <w:p w14:paraId="759F5D30">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en-US" w:bidi="ar-SA"/>
        </w:rPr>
        <w:t>国有资本经营预算财政拨款收入 0万元，占 0%；</w:t>
      </w:r>
    </w:p>
    <w:p w14:paraId="4A2C5228">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en-US" w:bidi="ar-SA"/>
        </w:rPr>
        <w:t>上级补助收入 0万元，占 0%；</w:t>
      </w:r>
    </w:p>
    <w:p w14:paraId="1B9B92B9">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en-US" w:bidi="ar-SA"/>
        </w:rPr>
        <w:t>事业收入 0万元，占 0%；</w:t>
      </w:r>
    </w:p>
    <w:p w14:paraId="0620B47A">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en-US" w:bidi="ar-SA"/>
        </w:rPr>
        <w:t>经营收入 0万元，占 0%；</w:t>
      </w:r>
    </w:p>
    <w:p w14:paraId="07DB79FF">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en-US" w:bidi="ar-SA"/>
        </w:rPr>
        <w:t>附属单位上缴收入 0万元，占 0%；</w:t>
      </w:r>
    </w:p>
    <w:p w14:paraId="1CA5B509">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en-US" w:bidi="ar-SA"/>
        </w:rPr>
        <w:t>其他收入 0万元，占 0%。</w:t>
      </w:r>
    </w:p>
    <w:p w14:paraId="27DC0F4B">
      <w:pPr>
        <w:widowControl/>
        <w:spacing w:before="240" w:after="240"/>
        <w:rPr>
          <w:rFonts w:ascii="Times New Roman" w:hAnsi="Times New Roman" w:eastAsia="Times New Roman" w:cs="Times New Roman"/>
          <w:kern w:val="0"/>
          <w:sz w:val="24"/>
        </w:rPr>
      </w:pPr>
    </w:p>
    <w:p w14:paraId="454FEE39">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5791835" cy="3763010"/>
            <wp:effectExtent l="0" t="0" r="18415" b="889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6"/>
                    <a:stretch>
                      <a:fillRect/>
                    </a:stretch>
                  </pic:blipFill>
                  <pic:spPr>
                    <a:xfrm>
                      <a:off x="0" y="0"/>
                      <a:ext cx="5791835" cy="3763010"/>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14:paraId="35EEA521">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w:t>
      </w:r>
      <w:r>
        <w:rPr>
          <w:rFonts w:ascii="times_new_roman" w:hAnsi="times_new_roman" w:eastAsia="times_new_roman" w:cs="times_new_roman"/>
          <w:kern w:val="0"/>
          <w:sz w:val="27"/>
          <w:szCs w:val="27"/>
        </w:rPr>
        <w:t>1</w:t>
      </w:r>
      <w:r>
        <w:rPr>
          <w:rFonts w:ascii="FangSong_GB2312" w:hAnsi="FangSong_GB2312" w:eastAsia="FangSong_GB2312" w:cs="FangSong_GB2312"/>
          <w:kern w:val="0"/>
          <w:sz w:val="27"/>
          <w:szCs w:val="27"/>
        </w:rPr>
        <w:t>.收入决算图</w:t>
      </w:r>
    </w:p>
    <w:p w14:paraId="38806F39">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三、支出决算情况说明</w:t>
      </w:r>
    </w:p>
    <w:p w14:paraId="48EFEF24">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en-US" w:bidi="ar-SA"/>
        </w:rPr>
        <w:t>巴彦淖尔市城市生活垃圾分类指导中心 2025年度本年支出决算合计 231.32万元，其中：</w:t>
      </w:r>
    </w:p>
    <w:p w14:paraId="798F272B">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en-US" w:bidi="ar-SA"/>
        </w:rPr>
        <w:t>基本支出 192.33万元，占 83.15%；</w:t>
      </w:r>
    </w:p>
    <w:p w14:paraId="1E0CEB0F">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en-US" w:bidi="ar-SA"/>
        </w:rPr>
        <w:t>项目支出 38.98万元，占 16.85%；</w:t>
      </w:r>
    </w:p>
    <w:p w14:paraId="20484541">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en-US" w:bidi="ar-SA"/>
        </w:rPr>
        <w:t>上缴上级支出 0万元，占 0%；</w:t>
      </w:r>
    </w:p>
    <w:p w14:paraId="393E1EAB">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en-US" w:bidi="ar-SA"/>
        </w:rPr>
        <w:t>经营支出 0万元，占 0%；</w:t>
      </w:r>
    </w:p>
    <w:p w14:paraId="4B7D9A8E">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en-US" w:bidi="ar-SA"/>
        </w:rPr>
        <w:t>对附属单位补助支出 0万元，占 0%。</w:t>
      </w:r>
    </w:p>
    <w:p w14:paraId="3F650DF8">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5535295" cy="3459480"/>
            <wp:effectExtent l="0" t="0" r="8255" b="7620"/>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7"/>
                    <a:stretch>
                      <a:fillRect/>
                    </a:stretch>
                  </pic:blipFill>
                  <pic:spPr>
                    <a:xfrm>
                      <a:off x="0" y="0"/>
                      <a:ext cx="5535295" cy="3459480"/>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14:paraId="017ACFCE">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图2.支出决算图</w:t>
      </w:r>
    </w:p>
    <w:p w14:paraId="4BC9664E">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四、财政拨款收入支出决算总体情况说明</w:t>
      </w:r>
    </w:p>
    <w:p w14:paraId="70AC09E9">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en-US" w:bidi="ar-SA"/>
        </w:rPr>
        <w:t>巴彦淖尔市城市生活垃圾分类指导中心 2025年度财政拨款收入、支出决算总计均为 231.32万元，与年初预算相比，收、支总计各增加</w:t>
      </w:r>
      <w:r>
        <w:rPr>
          <w:rFonts w:hint="eastAsia" w:ascii="FangSong_GB2312" w:hAnsi="FangSong_GB2312" w:eastAsia="FangSong_GB2312" w:cs="FangSong_GB2312"/>
          <w:kern w:val="0"/>
          <w:sz w:val="32"/>
          <w:szCs w:val="32"/>
          <w:lang w:val="en-US" w:eastAsia="zh-CN" w:bidi="ar-SA"/>
        </w:rPr>
        <w:t>6.74</w:t>
      </w:r>
      <w:r>
        <w:rPr>
          <w:rFonts w:hint="eastAsia" w:ascii="FangSong_GB2312" w:hAnsi="FangSong_GB2312" w:eastAsia="FangSong_GB2312" w:cs="FangSong_GB2312"/>
          <w:kern w:val="0"/>
          <w:sz w:val="32"/>
          <w:szCs w:val="32"/>
          <w:lang w:val="en-US" w:eastAsia="en-US" w:bidi="ar-SA"/>
        </w:rPr>
        <w:t>万元，增长</w:t>
      </w:r>
      <w:r>
        <w:rPr>
          <w:rFonts w:hint="eastAsia" w:ascii="FangSong_GB2312" w:hAnsi="FangSong_GB2312" w:eastAsia="FangSong_GB2312" w:cs="FangSong_GB2312"/>
          <w:kern w:val="0"/>
          <w:sz w:val="32"/>
          <w:szCs w:val="32"/>
          <w:lang w:val="en-US" w:eastAsia="zh-CN" w:bidi="ar-SA"/>
        </w:rPr>
        <w:t>3</w:t>
      </w:r>
      <w:r>
        <w:rPr>
          <w:rFonts w:hint="eastAsia" w:ascii="FangSong_GB2312" w:hAnsi="FangSong_GB2312" w:eastAsia="FangSong_GB2312" w:cs="FangSong_GB2312"/>
          <w:kern w:val="0"/>
          <w:sz w:val="32"/>
          <w:szCs w:val="32"/>
          <w:lang w:val="en-US" w:eastAsia="en-US" w:bidi="ar-SA"/>
        </w:rPr>
        <w:t>%，变动原因：</w:t>
      </w:r>
      <w:r>
        <w:rPr>
          <w:rFonts w:hint="eastAsia" w:ascii="FangSong_GB2312" w:hAnsi="FangSong_GB2312" w:eastAsia="FangSong_GB2312" w:cs="FangSong_GB2312"/>
          <w:kern w:val="0"/>
          <w:sz w:val="32"/>
          <w:szCs w:val="32"/>
          <w:lang w:val="en-US" w:eastAsia="zh-CN" w:bidi="ar-SA"/>
        </w:rPr>
        <w:t>25年新考录人员1名、在职职工保险基数调整，各项社保支出增加</w:t>
      </w:r>
      <w:r>
        <w:rPr>
          <w:rFonts w:hint="eastAsia" w:ascii="FangSong_GB2312" w:hAnsi="FangSong_GB2312" w:eastAsia="FangSong_GB2312" w:cs="FangSong_GB2312"/>
          <w:kern w:val="0"/>
          <w:sz w:val="32"/>
          <w:szCs w:val="32"/>
          <w:lang w:val="en-US" w:eastAsia="en-US" w:bidi="ar-SA"/>
        </w:rPr>
        <w:t>；</w:t>
      </w:r>
    </w:p>
    <w:p w14:paraId="784B0D5B">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五、一般公共预算财政拨款支出决算情况说明</w:t>
      </w:r>
    </w:p>
    <w:p w14:paraId="3728A50A">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en-US" w:bidi="ar-SA"/>
        </w:rPr>
        <w:t>巴彦淖尔市城市生活垃圾分类指导中心 2025年度一般公共预算财政拨款支出决算 231.32万元。与年初预算 231.32万元相比，完成年初预算的 100.00%。其中：</w:t>
      </w:r>
    </w:p>
    <w:p w14:paraId="117EE026">
      <w:pPr>
        <w:pStyle w:val="29"/>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（一）一般公共服务（类）</w:t>
      </w:r>
    </w:p>
    <w:p w14:paraId="04250864">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en-US" w:bidi="ar-SA"/>
        </w:rPr>
      </w:pPr>
      <w:r>
        <w:rPr>
          <w:rFonts w:ascii="FangSong_GB2312" w:hAnsi="FangSong_GB2312" w:eastAsia="FangSong_GB2312" w:cs="FangSong_GB2312"/>
          <w:kern w:val="0"/>
          <w:sz w:val="32"/>
          <w:szCs w:val="32"/>
          <w:u w:val="none"/>
        </w:rPr>
        <w:t>一</w:t>
      </w:r>
      <w:r>
        <w:rPr>
          <w:rFonts w:hint="eastAsia" w:ascii="FangSong_GB2312" w:hAnsi="FangSong_GB2312" w:eastAsia="FangSong_GB2312" w:cs="FangSong_GB2312"/>
          <w:kern w:val="0"/>
          <w:sz w:val="32"/>
          <w:szCs w:val="32"/>
          <w:lang w:val="en-US" w:eastAsia="en-US" w:bidi="ar-SA"/>
        </w:rPr>
        <w:t>般公共服务（类）决算数为 0万元，与年初预算相比增加 0万元。</w:t>
      </w:r>
    </w:p>
    <w:p w14:paraId="6BB975B9">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en-US" w:bidi="ar-SA"/>
        </w:rPr>
        <w:t>（二）公共安全（类）</w:t>
      </w:r>
    </w:p>
    <w:p w14:paraId="1ED9BAC8">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en-US" w:bidi="ar-SA"/>
        </w:rPr>
        <w:t>公共安全（类）决算数为 0万元，与年初预算相比增加 0万元</w:t>
      </w:r>
      <w:r>
        <w:rPr>
          <w:rFonts w:hint="eastAsia" w:ascii="FangSong_GB2312" w:hAnsi="FangSong_GB2312" w:eastAsia="FangSong_GB2312" w:cs="FangSong_GB2312"/>
          <w:kern w:val="0"/>
          <w:sz w:val="32"/>
          <w:szCs w:val="32"/>
          <w:lang w:val="en-US" w:eastAsia="zh-CN" w:bidi="ar-SA"/>
        </w:rPr>
        <w:t>。</w:t>
      </w:r>
    </w:p>
    <w:p w14:paraId="4B5CCC5D">
      <w:pPr>
        <w:pStyle w:val="29"/>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（三）社会保障和就业支出（类）</w:t>
      </w:r>
    </w:p>
    <w:p w14:paraId="37D8B338">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en-US" w:bidi="ar-SA"/>
        </w:rPr>
        <w:t>社会保障和就业支出（类）决算数为 20.64万元，与年初预算相比减少 0</w:t>
      </w:r>
      <w:r>
        <w:rPr>
          <w:rFonts w:hint="eastAsia" w:ascii="FangSong_GB2312" w:hAnsi="FangSong_GB2312" w:eastAsia="FangSong_GB2312" w:cs="FangSong_GB2312"/>
          <w:kern w:val="0"/>
          <w:sz w:val="32"/>
          <w:szCs w:val="32"/>
          <w:lang w:val="en-US" w:eastAsia="zh-CN" w:bidi="ar-SA"/>
        </w:rPr>
        <w:t>.23</w:t>
      </w:r>
      <w:r>
        <w:rPr>
          <w:rFonts w:hint="eastAsia" w:ascii="FangSong_GB2312" w:hAnsi="FangSong_GB2312" w:eastAsia="FangSong_GB2312" w:cs="FangSong_GB2312"/>
          <w:kern w:val="0"/>
          <w:sz w:val="32"/>
          <w:szCs w:val="32"/>
          <w:lang w:val="en-US" w:eastAsia="en-US" w:bidi="ar-SA"/>
        </w:rPr>
        <w:t>万元。其中：</w:t>
      </w:r>
    </w:p>
    <w:p w14:paraId="2D137DD2">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en-US" w:bidi="ar-SA"/>
        </w:rPr>
        <w:t>1．行政事业单位养老支出（款）行政单位离退休（项）。年初预算</w:t>
      </w:r>
      <w:r>
        <w:rPr>
          <w:rFonts w:hint="eastAsia" w:ascii="FangSong_GB2312" w:hAnsi="FangSong_GB2312" w:eastAsia="FangSong_GB2312" w:cs="FangSong_GB2312"/>
          <w:kern w:val="0"/>
          <w:sz w:val="32"/>
          <w:szCs w:val="32"/>
          <w:lang w:val="en-US" w:eastAsia="zh-CN" w:bidi="ar-SA"/>
        </w:rPr>
        <w:t>2.63</w:t>
      </w:r>
      <w:r>
        <w:rPr>
          <w:rFonts w:hint="eastAsia" w:ascii="FangSong_GB2312" w:hAnsi="FangSong_GB2312" w:eastAsia="FangSong_GB2312" w:cs="FangSong_GB2312"/>
          <w:kern w:val="0"/>
          <w:sz w:val="32"/>
          <w:szCs w:val="32"/>
          <w:lang w:val="en-US" w:eastAsia="en-US" w:bidi="ar-SA"/>
        </w:rPr>
        <w:t>万元，支出决算</w:t>
      </w:r>
      <w:r>
        <w:rPr>
          <w:rFonts w:hint="eastAsia" w:ascii="FangSong_GB2312" w:hAnsi="FangSong_GB2312" w:eastAsia="FangSong_GB2312" w:cs="FangSong_GB2312"/>
          <w:kern w:val="0"/>
          <w:sz w:val="32"/>
          <w:szCs w:val="32"/>
          <w:lang w:val="en-US" w:eastAsia="zh-CN" w:bidi="ar-SA"/>
        </w:rPr>
        <w:t>2.63</w:t>
      </w:r>
      <w:r>
        <w:rPr>
          <w:rFonts w:hint="eastAsia" w:ascii="FangSong_GB2312" w:hAnsi="FangSong_GB2312" w:eastAsia="FangSong_GB2312" w:cs="FangSong_GB2312"/>
          <w:kern w:val="0"/>
          <w:sz w:val="32"/>
          <w:szCs w:val="32"/>
          <w:lang w:val="en-US" w:eastAsia="en-US" w:bidi="ar-SA"/>
        </w:rPr>
        <w:t>万元，完成年初预算的</w:t>
      </w:r>
      <w:r>
        <w:rPr>
          <w:rFonts w:hint="eastAsia" w:ascii="FangSong_GB2312" w:hAnsi="FangSong_GB2312" w:eastAsia="FangSong_GB2312" w:cs="FangSong_GB2312"/>
          <w:kern w:val="0"/>
          <w:sz w:val="32"/>
          <w:szCs w:val="32"/>
          <w:lang w:val="en-US" w:eastAsia="zh-CN" w:bidi="ar-SA"/>
        </w:rPr>
        <w:t>100</w:t>
      </w:r>
      <w:r>
        <w:rPr>
          <w:rFonts w:hint="eastAsia" w:ascii="FangSong_GB2312" w:hAnsi="FangSong_GB2312" w:eastAsia="FangSong_GB2312" w:cs="FangSong_GB2312"/>
          <w:kern w:val="0"/>
          <w:sz w:val="32"/>
          <w:szCs w:val="32"/>
          <w:lang w:val="en-US" w:eastAsia="en-US" w:bidi="ar-SA"/>
        </w:rPr>
        <w:t>%。</w:t>
      </w:r>
    </w:p>
    <w:p w14:paraId="208E209D">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en-US" w:bidi="ar-SA"/>
        </w:rPr>
      </w:pPr>
      <w:r>
        <w:rPr>
          <w:rFonts w:hint="eastAsia" w:ascii="FangSong_GB2312" w:hAnsi="FangSong_GB2312" w:eastAsia="FangSong_GB2312" w:cs="FangSong_GB2312"/>
          <w:kern w:val="0"/>
          <w:sz w:val="32"/>
          <w:szCs w:val="32"/>
          <w:lang w:val="en-US" w:eastAsia="en-US" w:bidi="ar-SA"/>
        </w:rPr>
        <w:t>2．行政事业单位养老支出（款）机关事业单位基本养老保险缴费支出（项）。年初预算</w:t>
      </w:r>
      <w:r>
        <w:rPr>
          <w:rFonts w:hint="eastAsia" w:ascii="FangSong_GB2312" w:hAnsi="FangSong_GB2312" w:eastAsia="FangSong_GB2312" w:cs="FangSong_GB2312"/>
          <w:kern w:val="0"/>
          <w:sz w:val="32"/>
          <w:szCs w:val="32"/>
          <w:lang w:val="en-US" w:eastAsia="zh-CN" w:bidi="ar-SA"/>
        </w:rPr>
        <w:t>17.46</w:t>
      </w:r>
      <w:r>
        <w:rPr>
          <w:rFonts w:hint="eastAsia" w:ascii="FangSong_GB2312" w:hAnsi="FangSong_GB2312" w:eastAsia="FangSong_GB2312" w:cs="FangSong_GB2312"/>
          <w:kern w:val="0"/>
          <w:sz w:val="32"/>
          <w:szCs w:val="32"/>
          <w:lang w:val="en-US" w:eastAsia="en-US" w:bidi="ar-SA"/>
        </w:rPr>
        <w:t>万元，支出决算</w:t>
      </w:r>
      <w:r>
        <w:rPr>
          <w:rFonts w:hint="eastAsia" w:ascii="FangSong_GB2312" w:hAnsi="FangSong_GB2312" w:eastAsia="FangSong_GB2312" w:cs="FangSong_GB2312"/>
          <w:kern w:val="0"/>
          <w:sz w:val="32"/>
          <w:szCs w:val="32"/>
          <w:lang w:val="en-US" w:eastAsia="zh-CN" w:bidi="ar-SA"/>
        </w:rPr>
        <w:t>17.27</w:t>
      </w:r>
      <w:r>
        <w:rPr>
          <w:rFonts w:hint="eastAsia" w:ascii="FangSong_GB2312" w:hAnsi="FangSong_GB2312" w:eastAsia="FangSong_GB2312" w:cs="FangSong_GB2312"/>
          <w:kern w:val="0"/>
          <w:sz w:val="32"/>
          <w:szCs w:val="32"/>
          <w:lang w:val="en-US" w:eastAsia="en-US" w:bidi="ar-SA"/>
        </w:rPr>
        <w:t>万元，完成年初预算的</w:t>
      </w:r>
      <w:r>
        <w:rPr>
          <w:rFonts w:hint="eastAsia" w:ascii="FangSong_GB2312" w:hAnsi="FangSong_GB2312" w:eastAsia="FangSong_GB2312" w:cs="FangSong_GB2312"/>
          <w:kern w:val="0"/>
          <w:sz w:val="32"/>
          <w:szCs w:val="32"/>
          <w:lang w:val="en-US" w:eastAsia="zh-CN" w:bidi="ar-SA"/>
        </w:rPr>
        <w:t>98.9</w:t>
      </w:r>
      <w:r>
        <w:rPr>
          <w:rFonts w:hint="eastAsia" w:ascii="FangSong_GB2312" w:hAnsi="FangSong_GB2312" w:eastAsia="FangSong_GB2312" w:cs="FangSong_GB2312"/>
          <w:kern w:val="0"/>
          <w:sz w:val="32"/>
          <w:szCs w:val="32"/>
          <w:lang w:val="en-US" w:eastAsia="en-US" w:bidi="ar-SA"/>
        </w:rPr>
        <w:t>%。决算数与年初预算数的差异原因：</w:t>
      </w:r>
      <w:r>
        <w:rPr>
          <w:rFonts w:hint="eastAsia" w:ascii="FangSong_GB2312" w:hAnsi="FangSong_GB2312" w:eastAsia="FangSong_GB2312" w:cs="FangSong_GB2312"/>
          <w:kern w:val="0"/>
          <w:sz w:val="32"/>
          <w:szCs w:val="32"/>
          <w:lang w:val="en-US" w:eastAsia="zh-CN" w:bidi="ar-SA"/>
        </w:rPr>
        <w:t>本年度2名在职职工市内调出</w:t>
      </w:r>
      <w:r>
        <w:rPr>
          <w:rFonts w:hint="eastAsia" w:ascii="FangSong_GB2312" w:hAnsi="FangSong_GB2312" w:eastAsia="FangSong_GB2312" w:cs="FangSong_GB2312"/>
          <w:kern w:val="0"/>
          <w:sz w:val="32"/>
          <w:szCs w:val="32"/>
          <w:lang w:val="en-US" w:eastAsia="en-US" w:bidi="ar-SA"/>
        </w:rPr>
        <w:t>。</w:t>
      </w:r>
    </w:p>
    <w:p w14:paraId="785E66F6">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3.其他社会保障和就业支出失业保险、工伤保险费支出。年初预算0.79万元，支出决算0.75万元，完成年初预算的95%。</w:t>
      </w:r>
      <w:r>
        <w:rPr>
          <w:rFonts w:hint="eastAsia" w:ascii="FangSong_GB2312" w:hAnsi="FangSong_GB2312" w:eastAsia="FangSong_GB2312" w:cs="FangSong_GB2312"/>
          <w:kern w:val="0"/>
          <w:sz w:val="32"/>
          <w:szCs w:val="32"/>
          <w:lang w:val="en-US" w:eastAsia="en-US" w:bidi="ar-SA"/>
        </w:rPr>
        <w:t>决算数与年初预算数的差异原因：</w:t>
      </w:r>
      <w:r>
        <w:rPr>
          <w:rFonts w:hint="eastAsia" w:ascii="FangSong_GB2312" w:hAnsi="FangSong_GB2312" w:eastAsia="FangSong_GB2312" w:cs="FangSong_GB2312"/>
          <w:kern w:val="0"/>
          <w:sz w:val="32"/>
          <w:szCs w:val="32"/>
          <w:lang w:val="en-US" w:eastAsia="zh-CN" w:bidi="ar-SA"/>
        </w:rPr>
        <w:t>本年度2名在职职工市内调出</w:t>
      </w:r>
      <w:r>
        <w:rPr>
          <w:rFonts w:hint="eastAsia" w:ascii="FangSong_GB2312" w:hAnsi="FangSong_GB2312" w:eastAsia="FangSong_GB2312" w:cs="FangSong_GB2312"/>
          <w:kern w:val="0"/>
          <w:sz w:val="32"/>
          <w:szCs w:val="32"/>
          <w:lang w:val="en-US" w:eastAsia="en-US" w:bidi="ar-SA"/>
        </w:rPr>
        <w:t>。</w:t>
      </w:r>
    </w:p>
    <w:p w14:paraId="5596B6EC">
      <w:pPr>
        <w:pStyle w:val="29"/>
        <w:widowControl/>
        <w:spacing w:before="240" w:after="240" w:line="560" w:lineRule="atLeast"/>
        <w:ind w:firstLine="643"/>
        <w:jc w:val="left"/>
        <w:rPr>
          <w:rFonts w:ascii="Times New Roman" w:hAnsi="Times New Roman" w:eastAsia="Times New Roman" w:cs="Times New Roman"/>
          <w:kern w:val="0"/>
          <w:sz w:val="24"/>
          <w:u w:val="none"/>
        </w:rPr>
      </w:pPr>
      <w:r>
        <w:rPr>
          <w:rFonts w:ascii="楷体" w:hAnsi="楷体" w:eastAsia="楷体" w:cs="楷体"/>
          <w:b/>
          <w:bCs/>
          <w:kern w:val="0"/>
          <w:sz w:val="32"/>
          <w:szCs w:val="32"/>
          <w:u w:val="none"/>
        </w:rPr>
        <w:t>（四）卫生健康支出（类）</w:t>
      </w:r>
    </w:p>
    <w:p w14:paraId="0AF8A00C">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卫生健康支出（类）决算数为</w:t>
      </w:r>
      <w:r>
        <w:rPr>
          <w:rFonts w:hint="eastAsia" w:ascii="FangSong_GB2312" w:hAnsi="FangSong_GB2312" w:eastAsia="FangSong_GB2312" w:cs="FangSong_GB2312"/>
          <w:kern w:val="0"/>
          <w:sz w:val="32"/>
          <w:szCs w:val="32"/>
          <w:lang w:val="en-US" w:eastAsia="en-US" w:bidi="ar-SA"/>
        </w:rPr>
        <w:t xml:space="preserve"> 11.76</w:t>
      </w:r>
      <w:r>
        <w:rPr>
          <w:rFonts w:hint="eastAsia" w:ascii="FangSong_GB2312" w:hAnsi="FangSong_GB2312" w:eastAsia="FangSong_GB2312" w:cs="FangSong_GB2312"/>
          <w:kern w:val="0"/>
          <w:sz w:val="32"/>
          <w:szCs w:val="32"/>
          <w:lang w:val="en-US" w:eastAsia="zh-CN" w:bidi="ar-SA"/>
        </w:rPr>
        <w:t>万元，与年初预算相比减少</w:t>
      </w:r>
      <w:r>
        <w:rPr>
          <w:rFonts w:hint="eastAsia" w:ascii="FangSong_GB2312" w:hAnsi="FangSong_GB2312" w:eastAsia="FangSong_GB2312" w:cs="FangSong_GB2312"/>
          <w:kern w:val="0"/>
          <w:sz w:val="32"/>
          <w:szCs w:val="32"/>
          <w:lang w:val="en-US" w:eastAsia="en-US" w:bidi="ar-SA"/>
        </w:rPr>
        <w:t> 0</w:t>
      </w:r>
      <w:r>
        <w:rPr>
          <w:rFonts w:hint="eastAsia" w:ascii="FangSong_GB2312" w:hAnsi="FangSong_GB2312" w:eastAsia="FangSong_GB2312" w:cs="FangSong_GB2312"/>
          <w:kern w:val="0"/>
          <w:sz w:val="32"/>
          <w:szCs w:val="32"/>
          <w:lang w:val="en-US" w:eastAsia="zh-CN" w:bidi="ar-SA"/>
        </w:rPr>
        <w:t>.07万元。其中：</w:t>
      </w:r>
    </w:p>
    <w:p w14:paraId="760FB21C">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en-US" w:bidi="ar-SA"/>
        </w:rPr>
        <w:t>1</w:t>
      </w:r>
      <w:r>
        <w:rPr>
          <w:rFonts w:hint="eastAsia" w:ascii="FangSong_GB2312" w:hAnsi="FangSong_GB2312" w:eastAsia="FangSong_GB2312" w:cs="FangSong_GB2312"/>
          <w:kern w:val="0"/>
          <w:sz w:val="32"/>
          <w:szCs w:val="32"/>
          <w:lang w:val="en-US" w:eastAsia="zh-CN" w:bidi="ar-SA"/>
        </w:rPr>
        <w:t>．行政事业单位医疗（款）事业单位医疗（项）。年初预算8.51万元，支出决算8.47万元，完成年初预算的99.5</w:t>
      </w:r>
      <w:r>
        <w:rPr>
          <w:rFonts w:hint="eastAsia" w:ascii="FangSong_GB2312" w:hAnsi="FangSong_GB2312" w:eastAsia="FangSong_GB2312" w:cs="FangSong_GB2312"/>
          <w:kern w:val="0"/>
          <w:sz w:val="32"/>
          <w:szCs w:val="32"/>
          <w:lang w:val="en-US" w:eastAsia="en-US" w:bidi="ar-SA"/>
        </w:rPr>
        <w:t>%</w:t>
      </w:r>
      <w:r>
        <w:rPr>
          <w:rFonts w:hint="eastAsia" w:ascii="FangSong_GB2312" w:hAnsi="FangSong_GB2312" w:eastAsia="FangSong_GB2312" w:cs="FangSong_GB2312"/>
          <w:kern w:val="0"/>
          <w:sz w:val="32"/>
          <w:szCs w:val="32"/>
          <w:lang w:val="en-US" w:eastAsia="zh-CN" w:bidi="ar-SA"/>
        </w:rPr>
        <w:t>。决算数与年初预算数的差异原因：本年度2名在职职工市内调出。</w:t>
      </w:r>
    </w:p>
    <w:p w14:paraId="15959612">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en-US" w:bidi="ar-SA"/>
        </w:rPr>
        <w:t>3</w:t>
      </w:r>
      <w:r>
        <w:rPr>
          <w:rFonts w:hint="eastAsia" w:ascii="FangSong_GB2312" w:hAnsi="FangSong_GB2312" w:eastAsia="FangSong_GB2312" w:cs="FangSong_GB2312"/>
          <w:kern w:val="0"/>
          <w:sz w:val="32"/>
          <w:szCs w:val="32"/>
          <w:lang w:val="en-US" w:eastAsia="zh-CN" w:bidi="ar-SA"/>
        </w:rPr>
        <w:t>．行政事业单位医疗（款）公务员医疗补助（项）。年初预算3.31万元，支出决算3.29万元，完成年初预算的99.4</w:t>
      </w:r>
      <w:r>
        <w:rPr>
          <w:rFonts w:hint="eastAsia" w:ascii="FangSong_GB2312" w:hAnsi="FangSong_GB2312" w:eastAsia="FangSong_GB2312" w:cs="FangSong_GB2312"/>
          <w:kern w:val="0"/>
          <w:sz w:val="32"/>
          <w:szCs w:val="32"/>
          <w:lang w:val="en-US" w:eastAsia="en-US" w:bidi="ar-SA"/>
        </w:rPr>
        <w:t>%</w:t>
      </w:r>
      <w:r>
        <w:rPr>
          <w:rFonts w:hint="eastAsia" w:ascii="FangSong_GB2312" w:hAnsi="FangSong_GB2312" w:eastAsia="FangSong_GB2312" w:cs="FangSong_GB2312"/>
          <w:kern w:val="0"/>
          <w:sz w:val="32"/>
          <w:szCs w:val="32"/>
          <w:lang w:val="en-US" w:eastAsia="zh-CN" w:bidi="ar-SA"/>
        </w:rPr>
        <w:t>。决算数与年初预算数的差异原因：本年度2名在职职工市内调出。</w:t>
      </w:r>
    </w:p>
    <w:p w14:paraId="186B3E85">
      <w:pPr>
        <w:pStyle w:val="29"/>
        <w:widowControl/>
        <w:spacing w:before="240" w:after="240" w:line="560" w:lineRule="atLeast"/>
        <w:ind w:firstLine="643"/>
        <w:jc w:val="left"/>
        <w:rPr>
          <w:rFonts w:ascii="Times New Roman" w:hAnsi="Times New Roman" w:eastAsia="Times New Roman" w:cs="Times New Roman"/>
          <w:kern w:val="0"/>
          <w:sz w:val="24"/>
          <w:u w:val="none"/>
        </w:rPr>
      </w:pPr>
      <w:r>
        <w:rPr>
          <w:rFonts w:ascii="楷体" w:hAnsi="楷体" w:eastAsia="楷体" w:cs="楷体"/>
          <w:b/>
          <w:bCs/>
          <w:kern w:val="0"/>
          <w:sz w:val="32"/>
          <w:szCs w:val="32"/>
          <w:u w:val="none"/>
        </w:rPr>
        <w:t>（五）住房保障支出（类）</w:t>
      </w:r>
    </w:p>
    <w:p w14:paraId="66D2786E">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住房保障支出（类）决算数为</w:t>
      </w:r>
      <w:r>
        <w:rPr>
          <w:rFonts w:hint="eastAsia" w:ascii="FangSong_GB2312" w:hAnsi="FangSong_GB2312" w:eastAsia="FangSong_GB2312" w:cs="FangSong_GB2312"/>
          <w:kern w:val="0"/>
          <w:sz w:val="32"/>
          <w:szCs w:val="32"/>
          <w:lang w:val="en-US" w:eastAsia="en-US" w:bidi="ar-SA"/>
        </w:rPr>
        <w:t xml:space="preserve"> 15.09</w:t>
      </w:r>
      <w:r>
        <w:rPr>
          <w:rFonts w:hint="eastAsia" w:ascii="FangSong_GB2312" w:hAnsi="FangSong_GB2312" w:eastAsia="FangSong_GB2312" w:cs="FangSong_GB2312"/>
          <w:kern w:val="0"/>
          <w:sz w:val="32"/>
          <w:szCs w:val="32"/>
          <w:lang w:val="en-US" w:eastAsia="zh-CN" w:bidi="ar-SA"/>
        </w:rPr>
        <w:t>万元，与年初预算相比减少</w:t>
      </w:r>
      <w:r>
        <w:rPr>
          <w:rFonts w:hint="eastAsia" w:ascii="FangSong_GB2312" w:hAnsi="FangSong_GB2312" w:eastAsia="FangSong_GB2312" w:cs="FangSong_GB2312"/>
          <w:kern w:val="0"/>
          <w:sz w:val="32"/>
          <w:szCs w:val="32"/>
          <w:lang w:val="en-US" w:eastAsia="en-US" w:bidi="ar-SA"/>
        </w:rPr>
        <w:t> 0</w:t>
      </w:r>
      <w:r>
        <w:rPr>
          <w:rFonts w:hint="eastAsia" w:ascii="FangSong_GB2312" w:hAnsi="FangSong_GB2312" w:eastAsia="FangSong_GB2312" w:cs="FangSong_GB2312"/>
          <w:kern w:val="0"/>
          <w:sz w:val="32"/>
          <w:szCs w:val="32"/>
          <w:lang w:val="en-US" w:eastAsia="zh-CN" w:bidi="ar-SA"/>
        </w:rPr>
        <w:t>.07万元。其中：</w:t>
      </w:r>
    </w:p>
    <w:p w14:paraId="324D050C">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en-US" w:bidi="ar-SA"/>
        </w:rPr>
        <w:t>1</w:t>
      </w:r>
      <w:r>
        <w:rPr>
          <w:rFonts w:hint="eastAsia" w:ascii="FangSong_GB2312" w:hAnsi="FangSong_GB2312" w:eastAsia="FangSong_GB2312" w:cs="FangSong_GB2312"/>
          <w:kern w:val="0"/>
          <w:sz w:val="32"/>
          <w:szCs w:val="32"/>
          <w:lang w:val="en-US" w:eastAsia="zh-CN" w:bidi="ar-SA"/>
        </w:rPr>
        <w:t>．住房改革支出（款）住房公积金（项）。年初预算15.16万元，支出决算15.09万元，完成年初预算的99.5</w:t>
      </w:r>
      <w:r>
        <w:rPr>
          <w:rFonts w:hint="eastAsia" w:ascii="FangSong_GB2312" w:hAnsi="FangSong_GB2312" w:eastAsia="FangSong_GB2312" w:cs="FangSong_GB2312"/>
          <w:kern w:val="0"/>
          <w:sz w:val="32"/>
          <w:szCs w:val="32"/>
          <w:lang w:val="en-US" w:eastAsia="en-US" w:bidi="ar-SA"/>
        </w:rPr>
        <w:t>%</w:t>
      </w:r>
      <w:r>
        <w:rPr>
          <w:rFonts w:hint="eastAsia" w:ascii="FangSong_GB2312" w:hAnsi="FangSong_GB2312" w:eastAsia="FangSong_GB2312" w:cs="FangSong_GB2312"/>
          <w:kern w:val="0"/>
          <w:sz w:val="32"/>
          <w:szCs w:val="32"/>
          <w:lang w:val="en-US" w:eastAsia="zh-CN" w:bidi="ar-SA"/>
        </w:rPr>
        <w:t>。决算数与年初预算数的差异原因：本年度2名在职职工市内调出。</w:t>
      </w:r>
    </w:p>
    <w:p w14:paraId="148D8EA2">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六、一般公共预算财政拨款基本支出决算情况说明</w:t>
      </w:r>
    </w:p>
    <w:p w14:paraId="1D9DF44B">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xml:space="preserve">巴彦淖尔市城市生活垃圾分类指导中心 </w:t>
      </w:r>
      <w:r>
        <w:rPr>
          <w:rFonts w:hint="eastAsia" w:ascii="FangSong_GB2312" w:hAnsi="FangSong_GB2312" w:eastAsia="FangSong_GB2312" w:cs="FangSong_GB2312"/>
          <w:kern w:val="0"/>
          <w:sz w:val="32"/>
          <w:szCs w:val="32"/>
          <w:lang w:val="en-US" w:eastAsia="en-US" w:bidi="ar-SA"/>
        </w:rPr>
        <w:t>2025</w:t>
      </w:r>
      <w:r>
        <w:rPr>
          <w:rFonts w:hint="eastAsia" w:ascii="FangSong_GB2312" w:hAnsi="FangSong_GB2312" w:eastAsia="FangSong_GB2312" w:cs="FangSong_GB2312"/>
          <w:kern w:val="0"/>
          <w:sz w:val="32"/>
          <w:szCs w:val="32"/>
          <w:lang w:val="en-US" w:eastAsia="zh-CN" w:bidi="ar-SA"/>
        </w:rPr>
        <w:t>年度一般公共预算财政拨款基本支出决算</w:t>
      </w:r>
      <w:r>
        <w:rPr>
          <w:rFonts w:hint="eastAsia" w:ascii="FangSong_GB2312" w:hAnsi="FangSong_GB2312" w:eastAsia="FangSong_GB2312" w:cs="FangSong_GB2312"/>
          <w:kern w:val="0"/>
          <w:sz w:val="32"/>
          <w:szCs w:val="32"/>
          <w:lang w:val="en-US" w:eastAsia="en-US" w:bidi="ar-SA"/>
        </w:rPr>
        <w:t xml:space="preserve"> 192.33</w:t>
      </w:r>
      <w:r>
        <w:rPr>
          <w:rFonts w:hint="eastAsia" w:ascii="FangSong_GB2312" w:hAnsi="FangSong_GB2312" w:eastAsia="FangSong_GB2312" w:cs="FangSong_GB2312"/>
          <w:kern w:val="0"/>
          <w:sz w:val="32"/>
          <w:szCs w:val="32"/>
          <w:lang w:val="en-US" w:eastAsia="zh-CN" w:bidi="ar-SA"/>
        </w:rPr>
        <w:t>万元，其中：</w:t>
      </w:r>
    </w:p>
    <w:p w14:paraId="7A342B89">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（一）人员经费</w:t>
      </w:r>
      <w:r>
        <w:rPr>
          <w:rFonts w:hint="eastAsia" w:ascii="FangSong_GB2312" w:hAnsi="FangSong_GB2312" w:eastAsia="FangSong_GB2312" w:cs="FangSong_GB2312"/>
          <w:kern w:val="0"/>
          <w:sz w:val="32"/>
          <w:szCs w:val="32"/>
          <w:lang w:val="en-US" w:eastAsia="en-US" w:bidi="ar-SA"/>
        </w:rPr>
        <w:t xml:space="preserve"> 179.93</w:t>
      </w:r>
      <w:r>
        <w:rPr>
          <w:rFonts w:hint="eastAsia" w:ascii="FangSong_GB2312" w:hAnsi="FangSong_GB2312" w:eastAsia="FangSong_GB2312" w:cs="FangSong_GB2312"/>
          <w:kern w:val="0"/>
          <w:sz w:val="32"/>
          <w:szCs w:val="32"/>
          <w:lang w:val="en-US" w:eastAsia="zh-CN" w:bidi="ar-SA"/>
        </w:rPr>
        <w:t>万元。主要包括：基本工资69.39万元、津贴补贴30.48万元、绩效工资19.04万元、机关事业单位基本养老保险缴费17.27万元、职工基本医疗保险缴费8.47万元、公务员医疗补助缴费3.29万元、其他社会保障缴费0.75万元、住房公积金15.09万元、其他工资福利支出13.52万元、对个人和家庭的补助2.63万元。</w:t>
      </w:r>
    </w:p>
    <w:p w14:paraId="0D54EC83">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（二）公用经费</w:t>
      </w:r>
      <w:r>
        <w:rPr>
          <w:rFonts w:hint="eastAsia" w:ascii="FangSong_GB2312" w:hAnsi="FangSong_GB2312" w:eastAsia="FangSong_GB2312" w:cs="FangSong_GB2312"/>
          <w:kern w:val="0"/>
          <w:sz w:val="32"/>
          <w:szCs w:val="32"/>
          <w:lang w:val="en-US" w:eastAsia="en-US" w:bidi="ar-SA"/>
        </w:rPr>
        <w:t xml:space="preserve"> 12.41</w:t>
      </w:r>
      <w:r>
        <w:rPr>
          <w:rFonts w:hint="eastAsia" w:ascii="FangSong_GB2312" w:hAnsi="FangSong_GB2312" w:eastAsia="FangSong_GB2312" w:cs="FangSong_GB2312"/>
          <w:kern w:val="0"/>
          <w:sz w:val="32"/>
          <w:szCs w:val="32"/>
          <w:lang w:val="en-US" w:eastAsia="zh-CN" w:bidi="ar-SA"/>
        </w:rPr>
        <w:t>万元。主要包括：办公费3.36万元、水费0.06万元、电费0.3万元、邮电费0.4万元、取暖费2.16万元、物业管理费2.37万元、工会经费2.13万元、福利费0.54万元、维（修）护费1.1万元。</w:t>
      </w:r>
    </w:p>
    <w:p w14:paraId="4B9243AD">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七、一般公共预算财政拨款项目支出决算情况说明</w:t>
      </w:r>
    </w:p>
    <w:p w14:paraId="70D6216C">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xml:space="preserve">巴彦淖尔市城市生活垃圾分类指导中心 </w:t>
      </w:r>
      <w:r>
        <w:rPr>
          <w:rFonts w:hint="eastAsia" w:ascii="FangSong_GB2312" w:hAnsi="FangSong_GB2312" w:eastAsia="FangSong_GB2312" w:cs="FangSong_GB2312"/>
          <w:kern w:val="0"/>
          <w:sz w:val="32"/>
          <w:szCs w:val="32"/>
          <w:lang w:val="en-US" w:eastAsia="en-US" w:bidi="ar-SA"/>
        </w:rPr>
        <w:t>2025</w:t>
      </w:r>
      <w:r>
        <w:rPr>
          <w:rFonts w:hint="eastAsia" w:ascii="FangSong_GB2312" w:hAnsi="FangSong_GB2312" w:eastAsia="FangSong_GB2312" w:cs="FangSong_GB2312"/>
          <w:kern w:val="0"/>
          <w:sz w:val="32"/>
          <w:szCs w:val="32"/>
          <w:lang w:val="en-US" w:eastAsia="zh-CN" w:bidi="ar-SA"/>
        </w:rPr>
        <w:t>年度一般公共预算财政拨款项目支出决算</w:t>
      </w:r>
      <w:r>
        <w:rPr>
          <w:rFonts w:hint="eastAsia" w:ascii="FangSong_GB2312" w:hAnsi="FangSong_GB2312" w:eastAsia="FangSong_GB2312" w:cs="FangSong_GB2312"/>
          <w:kern w:val="0"/>
          <w:sz w:val="32"/>
          <w:szCs w:val="32"/>
          <w:lang w:val="en-US" w:eastAsia="en-US" w:bidi="ar-SA"/>
        </w:rPr>
        <w:t xml:space="preserve"> 38.98</w:t>
      </w:r>
      <w:r>
        <w:rPr>
          <w:rFonts w:hint="eastAsia" w:ascii="FangSong_GB2312" w:hAnsi="FangSong_GB2312" w:eastAsia="FangSong_GB2312" w:cs="FangSong_GB2312"/>
          <w:kern w:val="0"/>
          <w:sz w:val="32"/>
          <w:szCs w:val="32"/>
          <w:lang w:val="en-US" w:eastAsia="zh-CN" w:bidi="ar-SA"/>
        </w:rPr>
        <w:t>万元，其中：</w:t>
      </w:r>
    </w:p>
    <w:p w14:paraId="291A7F33">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（一）工资福利支出</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主要包括：基本工资、津贴补贴、奖金、伙食补助费、绩效工资、机关事业单位基本养老保险缴费、职业年金缴费、职工基本医疗保险缴费、公务员医疗补助缴费、其他社会保障缴费、住房公积金、医疗费、其他工资福利支出等。</w:t>
      </w:r>
    </w:p>
    <w:p w14:paraId="4DB7BEF5">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（二）商品和服务支出</w:t>
      </w:r>
      <w:r>
        <w:rPr>
          <w:rFonts w:hint="eastAsia" w:ascii="FangSong_GB2312" w:hAnsi="FangSong_GB2312" w:eastAsia="FangSong_GB2312" w:cs="FangSong_GB2312"/>
          <w:kern w:val="0"/>
          <w:sz w:val="32"/>
          <w:szCs w:val="32"/>
          <w:lang w:val="en-US" w:eastAsia="en-US" w:bidi="ar-SA"/>
        </w:rPr>
        <w:t xml:space="preserve"> 38.63</w:t>
      </w:r>
      <w:r>
        <w:rPr>
          <w:rFonts w:hint="eastAsia" w:ascii="FangSong_GB2312" w:hAnsi="FangSong_GB2312" w:eastAsia="FangSong_GB2312" w:cs="FangSong_GB2312"/>
          <w:kern w:val="0"/>
          <w:sz w:val="32"/>
          <w:szCs w:val="32"/>
          <w:lang w:val="en-US" w:eastAsia="zh-CN" w:bidi="ar-SA"/>
        </w:rPr>
        <w:t>万元。主要包括：办公费4万元、印刷费5.99万元、差旅费2.5万元、培训费1.99万元、委托业务费20.98万元、其他交通费用3.15万元。</w:t>
      </w:r>
    </w:p>
    <w:p w14:paraId="057ABFA9">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（三）资本性支出</w:t>
      </w:r>
      <w:r>
        <w:rPr>
          <w:rFonts w:hint="eastAsia" w:ascii="FangSong_GB2312" w:hAnsi="FangSong_GB2312" w:eastAsia="FangSong_GB2312" w:cs="FangSong_GB2312"/>
          <w:kern w:val="0"/>
          <w:sz w:val="32"/>
          <w:szCs w:val="32"/>
          <w:lang w:val="en-US" w:eastAsia="en-US" w:bidi="ar-SA"/>
        </w:rPr>
        <w:t xml:space="preserve"> 0.35</w:t>
      </w:r>
      <w:r>
        <w:rPr>
          <w:rFonts w:hint="eastAsia" w:ascii="FangSong_GB2312" w:hAnsi="FangSong_GB2312" w:eastAsia="FangSong_GB2312" w:cs="FangSong_GB2312"/>
          <w:kern w:val="0"/>
          <w:sz w:val="32"/>
          <w:szCs w:val="32"/>
          <w:lang w:val="en-US" w:eastAsia="zh-CN" w:bidi="ar-SA"/>
        </w:rPr>
        <w:t>万元。主要包括：办公设备购置0.35万元。</w:t>
      </w:r>
    </w:p>
    <w:p w14:paraId="4B2FB365">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八、财政拨款</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三公</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经费支出决算情况说明</w:t>
      </w:r>
    </w:p>
    <w:p w14:paraId="15C5CD2E">
      <w:pPr>
        <w:pStyle w:val="29"/>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经费支出总体情况说明。</w:t>
      </w:r>
    </w:p>
    <w:p w14:paraId="08E9D183">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xml:space="preserve">巴彦淖尔市城市生活垃圾分类指导中心 </w:t>
      </w:r>
      <w:r>
        <w:rPr>
          <w:rFonts w:hint="eastAsia" w:ascii="FangSong_GB2312" w:hAnsi="FangSong_GB2312" w:eastAsia="FangSong_GB2312" w:cs="FangSong_GB2312"/>
          <w:kern w:val="0"/>
          <w:sz w:val="32"/>
          <w:szCs w:val="32"/>
          <w:lang w:val="en-US" w:eastAsia="en-US" w:bidi="ar-SA"/>
        </w:rPr>
        <w:t>2025</w:t>
      </w:r>
      <w:r>
        <w:rPr>
          <w:rFonts w:hint="eastAsia" w:ascii="FangSong_GB2312" w:hAnsi="FangSong_GB2312" w:eastAsia="FangSong_GB2312" w:cs="FangSong_GB2312"/>
          <w:kern w:val="0"/>
          <w:sz w:val="32"/>
          <w:szCs w:val="32"/>
          <w:lang w:val="en-US" w:eastAsia="zh-CN" w:bidi="ar-SA"/>
        </w:rPr>
        <w:t>年度财政拨款“三公”经费全年预算</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万元，支出决算</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万元，完成预算的</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。其中：因公出国（境）费全年预算</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万元，支出决算</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万元，完成预算的</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；公务用车购置及运行维护费全年预算</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万元，支出决算</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万元，完成预算的</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；公务接待费全年预算</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万元，支出决算</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万元，完成预算的</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w:t>
      </w:r>
      <w:r>
        <w:rPr>
          <w:rFonts w:hint="eastAsia" w:ascii="FangSong_GB2312" w:hAnsi="FangSong_GB2312" w:eastAsia="FangSong_GB2312" w:cs="FangSong_GB2312"/>
          <w:kern w:val="0"/>
          <w:sz w:val="32"/>
          <w:szCs w:val="32"/>
          <w:lang w:val="en-US" w:eastAsia="en-US" w:bidi="ar-SA"/>
        </w:rPr>
        <w:t>2025</w:t>
      </w:r>
      <w:r>
        <w:rPr>
          <w:rFonts w:hint="eastAsia" w:ascii="FangSong_GB2312" w:hAnsi="FangSong_GB2312" w:eastAsia="FangSong_GB2312" w:cs="FangSong_GB2312"/>
          <w:kern w:val="0"/>
          <w:sz w:val="32"/>
          <w:szCs w:val="32"/>
          <w:lang w:val="en-US" w:eastAsia="zh-CN" w:bidi="ar-SA"/>
        </w:rPr>
        <w:t>年度一般公共预算财政拨款“三公”经费全年预算</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万元，支出决算</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万元，与预算差异原因：我单位无此项支出。</w:t>
      </w:r>
    </w:p>
    <w:p w14:paraId="126B4FC2">
      <w:pPr>
        <w:pStyle w:val="29"/>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经费支出具体情况说明。</w:t>
      </w:r>
    </w:p>
    <w:p w14:paraId="5F4E8D50">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xml:space="preserve">巴彦淖尔市城市生活垃圾分类指导中心 </w:t>
      </w:r>
      <w:r>
        <w:rPr>
          <w:rFonts w:hint="eastAsia" w:ascii="FangSong_GB2312" w:hAnsi="FangSong_GB2312" w:eastAsia="FangSong_GB2312" w:cs="FangSong_GB2312"/>
          <w:kern w:val="0"/>
          <w:sz w:val="32"/>
          <w:szCs w:val="32"/>
          <w:lang w:val="en-US" w:eastAsia="en-US" w:bidi="ar-SA"/>
        </w:rPr>
        <w:t>2025</w:t>
      </w:r>
      <w:r>
        <w:rPr>
          <w:rFonts w:hint="eastAsia" w:ascii="FangSong_GB2312" w:hAnsi="FangSong_GB2312" w:eastAsia="FangSong_GB2312" w:cs="FangSong_GB2312"/>
          <w:kern w:val="0"/>
          <w:sz w:val="32"/>
          <w:szCs w:val="32"/>
          <w:lang w:val="en-US" w:eastAsia="zh-CN" w:bidi="ar-SA"/>
        </w:rPr>
        <w:t>年度财政拨款“三公”经费支出</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万元。因公出国（境）费支出</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万元，占</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；公务用车购置及运行维护费支出</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万元，占</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；公务接待费支出</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万元，占</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。其中：</w:t>
      </w:r>
    </w:p>
    <w:p w14:paraId="76AC121B">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en-US" w:bidi="ar-SA"/>
        </w:rPr>
        <w:t>1.</w:t>
      </w:r>
      <w:r>
        <w:rPr>
          <w:rFonts w:hint="eastAsia" w:ascii="FangSong_GB2312" w:hAnsi="FangSong_GB2312" w:eastAsia="FangSong_GB2312" w:cs="FangSong_GB2312"/>
          <w:kern w:val="0"/>
          <w:sz w:val="32"/>
          <w:szCs w:val="32"/>
          <w:lang w:val="en-US" w:eastAsia="zh-CN" w:bidi="ar-SA"/>
        </w:rPr>
        <w:t>因公出国（境）费支出</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万元，全年出国（境）团组</w:t>
      </w:r>
      <w:r>
        <w:rPr>
          <w:rFonts w:hint="eastAsia" w:ascii="FangSong_GB2312" w:hAnsi="FangSong_GB2312" w:eastAsia="FangSong_GB2312" w:cs="FangSong_GB2312"/>
          <w:kern w:val="0"/>
          <w:sz w:val="32"/>
          <w:szCs w:val="32"/>
          <w:lang w:val="en-US" w:eastAsia="en-US" w:bidi="ar-SA"/>
        </w:rPr>
        <w:t xml:space="preserve">0 </w:t>
      </w:r>
      <w:r>
        <w:rPr>
          <w:rFonts w:hint="eastAsia" w:ascii="FangSong_GB2312" w:hAnsi="FangSong_GB2312" w:eastAsia="FangSong_GB2312" w:cs="FangSong_GB2312"/>
          <w:kern w:val="0"/>
          <w:sz w:val="32"/>
          <w:szCs w:val="32"/>
          <w:lang w:val="en-US" w:eastAsia="zh-CN" w:bidi="ar-SA"/>
        </w:rPr>
        <w:t>个，累计</w:t>
      </w:r>
      <w:r>
        <w:rPr>
          <w:rFonts w:hint="eastAsia" w:ascii="FangSong_GB2312" w:hAnsi="FangSong_GB2312" w:eastAsia="FangSong_GB2312" w:cs="FangSong_GB2312"/>
          <w:kern w:val="0"/>
          <w:sz w:val="32"/>
          <w:szCs w:val="32"/>
          <w:lang w:val="en-US" w:eastAsia="en-US" w:bidi="ar-SA"/>
        </w:rPr>
        <w:t xml:space="preserve">0 </w:t>
      </w:r>
      <w:r>
        <w:rPr>
          <w:rFonts w:hint="eastAsia" w:ascii="FangSong_GB2312" w:hAnsi="FangSong_GB2312" w:eastAsia="FangSong_GB2312" w:cs="FangSong_GB2312"/>
          <w:kern w:val="0"/>
          <w:sz w:val="32"/>
          <w:szCs w:val="32"/>
          <w:lang w:val="en-US" w:eastAsia="zh-CN" w:bidi="ar-SA"/>
        </w:rPr>
        <w:t>人次。与上年决算相比，增加（减少）</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万元，增长（下降）</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，变动原因：我单位无此项支出。</w:t>
      </w:r>
    </w:p>
    <w:p w14:paraId="16EE98E1">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en-US" w:bidi="ar-SA"/>
        </w:rPr>
        <w:t>2.</w:t>
      </w:r>
      <w:r>
        <w:rPr>
          <w:rFonts w:hint="eastAsia" w:ascii="FangSong_GB2312" w:hAnsi="FangSong_GB2312" w:eastAsia="FangSong_GB2312" w:cs="FangSong_GB2312"/>
          <w:kern w:val="0"/>
          <w:sz w:val="32"/>
          <w:szCs w:val="32"/>
          <w:lang w:val="en-US" w:eastAsia="zh-CN" w:bidi="ar-SA"/>
        </w:rPr>
        <w:t>公务用车购置及运行维护费支出</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万元。其中：</w:t>
      </w:r>
    </w:p>
    <w:p w14:paraId="13722145">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w:t>
      </w:r>
      <w:r>
        <w:rPr>
          <w:rFonts w:hint="eastAsia" w:ascii="FangSong_GB2312" w:hAnsi="FangSong_GB2312" w:eastAsia="FangSong_GB2312" w:cs="FangSong_GB2312"/>
          <w:kern w:val="0"/>
          <w:sz w:val="32"/>
          <w:szCs w:val="32"/>
          <w:lang w:val="en-US" w:eastAsia="en-US" w:bidi="ar-SA"/>
        </w:rPr>
        <w:t>1</w:t>
      </w:r>
      <w:r>
        <w:rPr>
          <w:rFonts w:hint="eastAsia" w:ascii="FangSong_GB2312" w:hAnsi="FangSong_GB2312" w:eastAsia="FangSong_GB2312" w:cs="FangSong_GB2312"/>
          <w:kern w:val="0"/>
          <w:sz w:val="32"/>
          <w:szCs w:val="32"/>
          <w:lang w:val="en-US" w:eastAsia="zh-CN" w:bidi="ar-SA"/>
        </w:rPr>
        <w:t>）公务用车购置支出</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万元。本年度使用财政拨款购置公务用车</w:t>
      </w:r>
      <w:r>
        <w:rPr>
          <w:rFonts w:hint="eastAsia" w:ascii="FangSong_GB2312" w:hAnsi="FangSong_GB2312" w:eastAsia="FangSong_GB2312" w:cs="FangSong_GB2312"/>
          <w:kern w:val="0"/>
          <w:sz w:val="32"/>
          <w:szCs w:val="32"/>
          <w:lang w:val="en-US" w:eastAsia="en-US" w:bidi="ar-SA"/>
        </w:rPr>
        <w:t xml:space="preserve">0 </w:t>
      </w:r>
      <w:r>
        <w:rPr>
          <w:rFonts w:hint="eastAsia" w:ascii="FangSong_GB2312" w:hAnsi="FangSong_GB2312" w:eastAsia="FangSong_GB2312" w:cs="FangSong_GB2312"/>
          <w:kern w:val="0"/>
          <w:sz w:val="32"/>
          <w:szCs w:val="32"/>
          <w:lang w:val="en-US" w:eastAsia="zh-CN" w:bidi="ar-SA"/>
        </w:rPr>
        <w:t>辆。与上年决算相比，增加（减少） 0万元，增长（下降）</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，变动原因：我单位无此项支出。</w:t>
      </w:r>
    </w:p>
    <w:p w14:paraId="0F37A23C">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w:t>
      </w:r>
      <w:r>
        <w:rPr>
          <w:rFonts w:hint="eastAsia" w:ascii="FangSong_GB2312" w:hAnsi="FangSong_GB2312" w:eastAsia="FangSong_GB2312" w:cs="FangSong_GB2312"/>
          <w:kern w:val="0"/>
          <w:sz w:val="32"/>
          <w:szCs w:val="32"/>
          <w:lang w:val="en-US" w:eastAsia="en-US" w:bidi="ar-SA"/>
        </w:rPr>
        <w:t>2</w:t>
      </w:r>
      <w:r>
        <w:rPr>
          <w:rFonts w:hint="eastAsia" w:ascii="FangSong_GB2312" w:hAnsi="FangSong_GB2312" w:eastAsia="FangSong_GB2312" w:cs="FangSong_GB2312"/>
          <w:kern w:val="0"/>
          <w:sz w:val="32"/>
          <w:szCs w:val="32"/>
          <w:lang w:val="en-US" w:eastAsia="zh-CN" w:bidi="ar-SA"/>
        </w:rPr>
        <w:t>）公务用车运行维护费支出</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万元。公务用车运行维护费主要用于按规定保留的公务用车的燃料费、新能源汽车充电费、维修费、过桥过路费、保险费、安全奖励费用等支出。截至</w:t>
      </w:r>
      <w:r>
        <w:rPr>
          <w:rFonts w:hint="eastAsia" w:ascii="FangSong_GB2312" w:hAnsi="FangSong_GB2312" w:eastAsia="FangSong_GB2312" w:cs="FangSong_GB2312"/>
          <w:kern w:val="0"/>
          <w:sz w:val="32"/>
          <w:szCs w:val="32"/>
          <w:lang w:val="en-US" w:eastAsia="en-US" w:bidi="ar-SA"/>
        </w:rPr>
        <w:t>2025</w:t>
      </w:r>
      <w:r>
        <w:rPr>
          <w:rFonts w:hint="eastAsia" w:ascii="FangSong_GB2312" w:hAnsi="FangSong_GB2312" w:eastAsia="FangSong_GB2312" w:cs="FangSong_GB2312"/>
          <w:kern w:val="0"/>
          <w:sz w:val="32"/>
          <w:szCs w:val="32"/>
          <w:lang w:val="en-US" w:eastAsia="zh-CN" w:bidi="ar-SA"/>
        </w:rPr>
        <w:t>年</w:t>
      </w:r>
      <w:r>
        <w:rPr>
          <w:rFonts w:hint="eastAsia" w:ascii="FangSong_GB2312" w:hAnsi="FangSong_GB2312" w:eastAsia="FangSong_GB2312" w:cs="FangSong_GB2312"/>
          <w:kern w:val="0"/>
          <w:sz w:val="32"/>
          <w:szCs w:val="32"/>
          <w:lang w:val="en-US" w:eastAsia="en-US" w:bidi="ar-SA"/>
        </w:rPr>
        <w:t>12</w:t>
      </w:r>
      <w:r>
        <w:rPr>
          <w:rFonts w:hint="eastAsia" w:ascii="FangSong_GB2312" w:hAnsi="FangSong_GB2312" w:eastAsia="FangSong_GB2312" w:cs="FangSong_GB2312"/>
          <w:kern w:val="0"/>
          <w:sz w:val="32"/>
          <w:szCs w:val="32"/>
          <w:lang w:val="en-US" w:eastAsia="zh-CN" w:bidi="ar-SA"/>
        </w:rPr>
        <w:t>月</w:t>
      </w:r>
      <w:r>
        <w:rPr>
          <w:rFonts w:hint="eastAsia" w:ascii="FangSong_GB2312" w:hAnsi="FangSong_GB2312" w:eastAsia="FangSong_GB2312" w:cs="FangSong_GB2312"/>
          <w:kern w:val="0"/>
          <w:sz w:val="32"/>
          <w:szCs w:val="32"/>
          <w:lang w:val="en-US" w:eastAsia="en-US" w:bidi="ar-SA"/>
        </w:rPr>
        <w:t>31</w:t>
      </w:r>
      <w:r>
        <w:rPr>
          <w:rFonts w:hint="eastAsia" w:ascii="FangSong_GB2312" w:hAnsi="FangSong_GB2312" w:eastAsia="FangSong_GB2312" w:cs="FangSong_GB2312"/>
          <w:kern w:val="0"/>
          <w:sz w:val="32"/>
          <w:szCs w:val="32"/>
          <w:lang w:val="en-US" w:eastAsia="zh-CN" w:bidi="ar-SA"/>
        </w:rPr>
        <w:t>日，使用财政拨款开支的公务用车保有量为</w:t>
      </w:r>
      <w:r>
        <w:rPr>
          <w:rFonts w:hint="eastAsia" w:ascii="FangSong_GB2312" w:hAnsi="FangSong_GB2312" w:eastAsia="FangSong_GB2312" w:cs="FangSong_GB2312"/>
          <w:kern w:val="0"/>
          <w:sz w:val="32"/>
          <w:szCs w:val="32"/>
          <w:lang w:val="en-US" w:eastAsia="en-US" w:bidi="ar-SA"/>
        </w:rPr>
        <w:t xml:space="preserve">0 </w:t>
      </w:r>
      <w:r>
        <w:rPr>
          <w:rFonts w:hint="eastAsia" w:ascii="FangSong_GB2312" w:hAnsi="FangSong_GB2312" w:eastAsia="FangSong_GB2312" w:cs="FangSong_GB2312"/>
          <w:kern w:val="0"/>
          <w:sz w:val="32"/>
          <w:szCs w:val="32"/>
          <w:lang w:val="en-US" w:eastAsia="zh-CN" w:bidi="ar-SA"/>
        </w:rPr>
        <w:t>辆。与上年决算相比，增加（减少）</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万元，增长（下降）</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，变动原因：我单位无此项支出。</w:t>
      </w:r>
    </w:p>
    <w:p w14:paraId="27716071">
      <w:pPr>
        <w:pStyle w:val="29"/>
        <w:widowControl/>
        <w:spacing w:before="240" w:after="240" w:line="560" w:lineRule="atLeast"/>
        <w:ind w:firstLine="640"/>
        <w:jc w:val="left"/>
        <w:rPr>
          <w:rFonts w:ascii="Times New Roman" w:hAnsi="Times New Roman" w:eastAsia="Times New Roman" w:cs="Times New Roman"/>
          <w:kern w:val="0"/>
          <w:sz w:val="24"/>
          <w:u w:val="none"/>
        </w:rPr>
      </w:pPr>
      <w:r>
        <w:rPr>
          <w:rFonts w:hint="eastAsia" w:ascii="FangSong_GB2312" w:hAnsi="FangSong_GB2312" w:eastAsia="FangSong_GB2312" w:cs="FangSong_GB2312"/>
          <w:kern w:val="0"/>
          <w:sz w:val="32"/>
          <w:szCs w:val="32"/>
          <w:lang w:val="en-US" w:eastAsia="en-US" w:bidi="ar-SA"/>
        </w:rPr>
        <w:t>3.</w:t>
      </w:r>
      <w:r>
        <w:rPr>
          <w:rFonts w:hint="eastAsia" w:ascii="FangSong_GB2312" w:hAnsi="FangSong_GB2312" w:eastAsia="FangSong_GB2312" w:cs="FangSong_GB2312"/>
          <w:kern w:val="0"/>
          <w:sz w:val="32"/>
          <w:szCs w:val="32"/>
          <w:lang w:val="en-US" w:eastAsia="zh-CN" w:bidi="ar-SA"/>
        </w:rPr>
        <w:t>公务接待费支出</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万元。其中：国内公务接待支出</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万元，接待</w:t>
      </w:r>
      <w:r>
        <w:rPr>
          <w:rFonts w:hint="eastAsia" w:ascii="FangSong_GB2312" w:hAnsi="FangSong_GB2312" w:eastAsia="FangSong_GB2312" w:cs="FangSong_GB2312"/>
          <w:kern w:val="0"/>
          <w:sz w:val="32"/>
          <w:szCs w:val="32"/>
          <w:lang w:val="en-US" w:eastAsia="en-US" w:bidi="ar-SA"/>
        </w:rPr>
        <w:t xml:space="preserve">0 </w:t>
      </w:r>
      <w:r>
        <w:rPr>
          <w:rFonts w:hint="eastAsia" w:ascii="FangSong_GB2312" w:hAnsi="FangSong_GB2312" w:eastAsia="FangSong_GB2312" w:cs="FangSong_GB2312"/>
          <w:kern w:val="0"/>
          <w:sz w:val="32"/>
          <w:szCs w:val="32"/>
          <w:lang w:val="en-US" w:eastAsia="zh-CN" w:bidi="ar-SA"/>
        </w:rPr>
        <w:t>批次，</w:t>
      </w:r>
      <w:r>
        <w:rPr>
          <w:rFonts w:hint="eastAsia" w:ascii="FangSong_GB2312" w:hAnsi="FangSong_GB2312" w:eastAsia="FangSong_GB2312" w:cs="FangSong_GB2312"/>
          <w:kern w:val="0"/>
          <w:sz w:val="32"/>
          <w:szCs w:val="32"/>
          <w:lang w:val="en-US" w:eastAsia="en-US" w:bidi="ar-SA"/>
        </w:rPr>
        <w:t xml:space="preserve">0 </w:t>
      </w:r>
      <w:r>
        <w:rPr>
          <w:rFonts w:hint="eastAsia" w:ascii="FangSong_GB2312" w:hAnsi="FangSong_GB2312" w:eastAsia="FangSong_GB2312" w:cs="FangSong_GB2312"/>
          <w:kern w:val="0"/>
          <w:sz w:val="32"/>
          <w:szCs w:val="32"/>
          <w:lang w:val="en-US" w:eastAsia="zh-CN" w:bidi="ar-SA"/>
        </w:rPr>
        <w:t>人次；国（境）外公务接待支出</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万元，接待</w:t>
      </w:r>
      <w:r>
        <w:rPr>
          <w:rFonts w:hint="eastAsia" w:ascii="FangSong_GB2312" w:hAnsi="FangSong_GB2312" w:eastAsia="FangSong_GB2312" w:cs="FangSong_GB2312"/>
          <w:kern w:val="0"/>
          <w:sz w:val="32"/>
          <w:szCs w:val="32"/>
          <w:lang w:val="en-US" w:eastAsia="en-US" w:bidi="ar-SA"/>
        </w:rPr>
        <w:t xml:space="preserve">0 </w:t>
      </w:r>
      <w:r>
        <w:rPr>
          <w:rFonts w:hint="eastAsia" w:ascii="FangSong_GB2312" w:hAnsi="FangSong_GB2312" w:eastAsia="FangSong_GB2312" w:cs="FangSong_GB2312"/>
          <w:kern w:val="0"/>
          <w:sz w:val="32"/>
          <w:szCs w:val="32"/>
          <w:lang w:val="en-US" w:eastAsia="zh-CN" w:bidi="ar-SA"/>
        </w:rPr>
        <w:t>批次，</w:t>
      </w:r>
      <w:r>
        <w:rPr>
          <w:rFonts w:hint="eastAsia" w:ascii="FangSong_GB2312" w:hAnsi="FangSong_GB2312" w:eastAsia="FangSong_GB2312" w:cs="FangSong_GB2312"/>
          <w:kern w:val="0"/>
          <w:sz w:val="32"/>
          <w:szCs w:val="32"/>
          <w:lang w:val="en-US" w:eastAsia="en-US" w:bidi="ar-SA"/>
        </w:rPr>
        <w:t xml:space="preserve">0 </w:t>
      </w:r>
      <w:r>
        <w:rPr>
          <w:rFonts w:hint="eastAsia" w:ascii="FangSong_GB2312" w:hAnsi="FangSong_GB2312" w:eastAsia="FangSong_GB2312" w:cs="FangSong_GB2312"/>
          <w:kern w:val="0"/>
          <w:sz w:val="32"/>
          <w:szCs w:val="32"/>
          <w:lang w:val="en-US" w:eastAsia="zh-CN" w:bidi="ar-SA"/>
        </w:rPr>
        <w:t>人次。与上年决算相比，增加（减少）</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万元，增长（下降）</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，变动原因：我单位无此项支出。</w:t>
      </w:r>
    </w:p>
    <w:p w14:paraId="6C6C21A7">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九、政府性基金预算财政拨款支出决算情况说明</w:t>
      </w:r>
    </w:p>
    <w:p w14:paraId="003DDF5C">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巴彦淖尔市城市生活垃圾分类指导中心</w:t>
      </w:r>
      <w:r>
        <w:rPr>
          <w:rFonts w:hint="eastAsia" w:ascii="FangSong_GB2312" w:hAnsi="FangSong_GB2312" w:eastAsia="FangSong_GB2312" w:cs="FangSong_GB2312"/>
          <w:kern w:val="0"/>
          <w:sz w:val="32"/>
          <w:szCs w:val="32"/>
          <w:lang w:val="en-US" w:eastAsia="en-US" w:bidi="ar-SA"/>
        </w:rPr>
        <w:t>2025</w:t>
      </w:r>
      <w:r>
        <w:rPr>
          <w:rFonts w:hint="eastAsia" w:ascii="FangSong_GB2312" w:hAnsi="FangSong_GB2312" w:eastAsia="FangSong_GB2312" w:cs="FangSong_GB2312"/>
          <w:kern w:val="0"/>
          <w:sz w:val="32"/>
          <w:szCs w:val="32"/>
          <w:lang w:val="en-US" w:eastAsia="zh-CN" w:bidi="ar-SA"/>
        </w:rPr>
        <w:t>年度政府性基金预算财政拨款支出决算</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万元。与上年决算相比，增加（减少）</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万元，增长（下降）</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，变动原因：本年无政府性基金预算财政拨款收、支、余。其中：</w:t>
      </w:r>
    </w:p>
    <w:p w14:paraId="15995679">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（一）文化旅游体育与传媒支出（类）国家电影事业发展专项资金安排的支出（款）资助少数民族语电影译制（项）支出0万元。</w:t>
      </w:r>
    </w:p>
    <w:p w14:paraId="549D872E">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十、国有资本经营预算财政拨款支出决算情况说明</w:t>
      </w:r>
    </w:p>
    <w:p w14:paraId="324221B0">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巴彦淖尔市城市生活垃圾分类指导中心</w:t>
      </w:r>
      <w:r>
        <w:rPr>
          <w:rFonts w:hint="eastAsia" w:ascii="FangSong_GB2312" w:hAnsi="FangSong_GB2312" w:eastAsia="FangSong_GB2312" w:cs="FangSong_GB2312"/>
          <w:kern w:val="0"/>
          <w:sz w:val="32"/>
          <w:szCs w:val="32"/>
          <w:lang w:val="en-US" w:eastAsia="en-US" w:bidi="ar-SA"/>
        </w:rPr>
        <w:t>2025</w:t>
      </w:r>
      <w:r>
        <w:rPr>
          <w:rFonts w:hint="eastAsia" w:ascii="FangSong_GB2312" w:hAnsi="FangSong_GB2312" w:eastAsia="FangSong_GB2312" w:cs="FangSong_GB2312"/>
          <w:kern w:val="0"/>
          <w:sz w:val="32"/>
          <w:szCs w:val="32"/>
          <w:lang w:val="en-US" w:eastAsia="zh-CN" w:bidi="ar-SA"/>
        </w:rPr>
        <w:t>年度国有资本经营预算财政拨款支出决算</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万元。与上年决算相比，增加（减少）</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万元，增长（下降）</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，变动原因：本年无国有资本经营预算财政拨款收、支、余。</w:t>
      </w:r>
    </w:p>
    <w:p w14:paraId="23438A3B">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十一、机关运行经费（公用经费）支出决算情况说明</w:t>
      </w:r>
    </w:p>
    <w:p w14:paraId="577503E5">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xml:space="preserve">巴彦淖尔市城市生活垃圾分类指导中心 </w:t>
      </w:r>
      <w:r>
        <w:rPr>
          <w:rFonts w:hint="eastAsia" w:ascii="FangSong_GB2312" w:hAnsi="FangSong_GB2312" w:eastAsia="FangSong_GB2312" w:cs="FangSong_GB2312"/>
          <w:kern w:val="0"/>
          <w:sz w:val="32"/>
          <w:szCs w:val="32"/>
          <w:lang w:val="en-US" w:eastAsia="en-US" w:bidi="ar-SA"/>
        </w:rPr>
        <w:t>2025</w:t>
      </w:r>
      <w:r>
        <w:rPr>
          <w:rFonts w:hint="eastAsia" w:ascii="FangSong_GB2312" w:hAnsi="FangSong_GB2312" w:eastAsia="FangSong_GB2312" w:cs="FangSong_GB2312"/>
          <w:kern w:val="0"/>
          <w:sz w:val="32"/>
          <w:szCs w:val="32"/>
          <w:lang w:val="en-US" w:eastAsia="zh-CN" w:bidi="ar-SA"/>
        </w:rPr>
        <w:t>年度公用经费支出决算</w:t>
      </w:r>
      <w:r>
        <w:rPr>
          <w:rFonts w:hint="eastAsia" w:ascii="FangSong_GB2312" w:hAnsi="FangSong_GB2312" w:eastAsia="FangSong_GB2312" w:cs="FangSong_GB2312"/>
          <w:kern w:val="0"/>
          <w:sz w:val="32"/>
          <w:szCs w:val="32"/>
          <w:lang w:val="en-US" w:eastAsia="en-US" w:bidi="ar-SA"/>
        </w:rPr>
        <w:t xml:space="preserve"> 12.41</w:t>
      </w:r>
      <w:r>
        <w:rPr>
          <w:rFonts w:hint="eastAsia" w:ascii="FangSong_GB2312" w:hAnsi="FangSong_GB2312" w:eastAsia="FangSong_GB2312" w:cs="FangSong_GB2312"/>
          <w:kern w:val="0"/>
          <w:sz w:val="32"/>
          <w:szCs w:val="32"/>
          <w:lang w:val="en-US" w:eastAsia="zh-CN" w:bidi="ar-SA"/>
        </w:rPr>
        <w:t>万元，与上年决算相比，增加</w:t>
      </w:r>
      <w:r>
        <w:rPr>
          <w:rFonts w:hint="eastAsia" w:ascii="FangSong_GB2312" w:hAnsi="FangSong_GB2312" w:eastAsia="FangSong_GB2312" w:cs="FangSong_GB2312"/>
          <w:kern w:val="0"/>
          <w:sz w:val="32"/>
          <w:szCs w:val="32"/>
          <w:lang w:val="en-US" w:eastAsia="en-US" w:bidi="ar-SA"/>
        </w:rPr>
        <w:t xml:space="preserve"> 0.86</w:t>
      </w:r>
      <w:r>
        <w:rPr>
          <w:rFonts w:hint="eastAsia" w:ascii="FangSong_GB2312" w:hAnsi="FangSong_GB2312" w:eastAsia="FangSong_GB2312" w:cs="FangSong_GB2312"/>
          <w:kern w:val="0"/>
          <w:sz w:val="32"/>
          <w:szCs w:val="32"/>
          <w:lang w:val="en-US" w:eastAsia="zh-CN" w:bidi="ar-SA"/>
        </w:rPr>
        <w:t>万元，增长</w:t>
      </w:r>
      <w:r>
        <w:rPr>
          <w:rFonts w:hint="eastAsia" w:ascii="FangSong_GB2312" w:hAnsi="FangSong_GB2312" w:eastAsia="FangSong_GB2312" w:cs="FangSong_GB2312"/>
          <w:kern w:val="0"/>
          <w:sz w:val="32"/>
          <w:szCs w:val="32"/>
          <w:lang w:val="en-US" w:eastAsia="en-US" w:bidi="ar-SA"/>
        </w:rPr>
        <w:t>7.49%</w:t>
      </w:r>
      <w:r>
        <w:rPr>
          <w:rFonts w:hint="eastAsia" w:ascii="FangSong_GB2312" w:hAnsi="FangSong_GB2312" w:eastAsia="FangSong_GB2312" w:cs="FangSong_GB2312"/>
          <w:kern w:val="0"/>
          <w:sz w:val="32"/>
          <w:szCs w:val="32"/>
          <w:lang w:val="en-US" w:eastAsia="zh-CN" w:bidi="ar-SA"/>
        </w:rPr>
        <w:t>，变动原因：本年度我单位工作任务增量，培训、宣传导致培训费、印刷费增加。其中，机关运行经费支出决算</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万元。比上年决算相比，增加</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万元，增长</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，变动原因：我单位类型为公益一类事业单位（依据政府编制管理部门确定的单位性质），无机关运行经费支出。</w:t>
      </w:r>
    </w:p>
    <w:p w14:paraId="4A0924E8">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十二、政府采购支出决算情况说明</w:t>
      </w:r>
    </w:p>
    <w:p w14:paraId="05D54528">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巴彦淖尔市城市生活垃圾分类指导中心</w:t>
      </w:r>
      <w:r>
        <w:rPr>
          <w:rFonts w:hint="eastAsia" w:ascii="FangSong_GB2312" w:hAnsi="FangSong_GB2312" w:eastAsia="FangSong_GB2312" w:cs="FangSong_GB2312"/>
          <w:kern w:val="0"/>
          <w:sz w:val="32"/>
          <w:szCs w:val="32"/>
          <w:lang w:val="en-US" w:eastAsia="en-US" w:bidi="ar-SA"/>
        </w:rPr>
        <w:t>2025</w:t>
      </w:r>
      <w:r>
        <w:rPr>
          <w:rFonts w:hint="eastAsia" w:ascii="FangSong_GB2312" w:hAnsi="FangSong_GB2312" w:eastAsia="FangSong_GB2312" w:cs="FangSong_GB2312"/>
          <w:kern w:val="0"/>
          <w:sz w:val="32"/>
          <w:szCs w:val="32"/>
          <w:lang w:val="en-US" w:eastAsia="zh-CN" w:bidi="ar-SA"/>
        </w:rPr>
        <w:t>年度政府采购支出总额</w:t>
      </w:r>
      <w:r>
        <w:rPr>
          <w:rFonts w:hint="eastAsia" w:ascii="FangSong_GB2312" w:hAnsi="FangSong_GB2312" w:eastAsia="FangSong_GB2312" w:cs="FangSong_GB2312"/>
          <w:kern w:val="0"/>
          <w:sz w:val="32"/>
          <w:szCs w:val="32"/>
          <w:lang w:val="en-US" w:eastAsia="en-US" w:bidi="ar-SA"/>
        </w:rPr>
        <w:t xml:space="preserve"> 9.23</w:t>
      </w:r>
      <w:r>
        <w:rPr>
          <w:rFonts w:hint="eastAsia" w:ascii="FangSong_GB2312" w:hAnsi="FangSong_GB2312" w:eastAsia="FangSong_GB2312" w:cs="FangSong_GB2312"/>
          <w:kern w:val="0"/>
          <w:sz w:val="32"/>
          <w:szCs w:val="32"/>
          <w:lang w:val="en-US" w:eastAsia="zh-CN" w:bidi="ar-SA"/>
        </w:rPr>
        <w:t>万元，其中：政府采购货物支出</w:t>
      </w:r>
      <w:r>
        <w:rPr>
          <w:rFonts w:hint="eastAsia" w:ascii="FangSong_GB2312" w:hAnsi="FangSong_GB2312" w:eastAsia="FangSong_GB2312" w:cs="FangSong_GB2312"/>
          <w:kern w:val="0"/>
          <w:sz w:val="32"/>
          <w:szCs w:val="32"/>
          <w:lang w:val="en-US" w:eastAsia="en-US" w:bidi="ar-SA"/>
        </w:rPr>
        <w:t xml:space="preserve"> 0.85</w:t>
      </w:r>
      <w:r>
        <w:rPr>
          <w:rFonts w:hint="eastAsia" w:ascii="FangSong_GB2312" w:hAnsi="FangSong_GB2312" w:eastAsia="FangSong_GB2312" w:cs="FangSong_GB2312"/>
          <w:kern w:val="0"/>
          <w:sz w:val="32"/>
          <w:szCs w:val="32"/>
          <w:lang w:val="en-US" w:eastAsia="zh-CN" w:bidi="ar-SA"/>
        </w:rPr>
        <w:t>万元、政府采购工程支出</w:t>
      </w:r>
      <w:r>
        <w:rPr>
          <w:rFonts w:hint="eastAsia" w:ascii="FangSong_GB2312" w:hAnsi="FangSong_GB2312" w:eastAsia="FangSong_GB2312" w:cs="FangSong_GB2312"/>
          <w:kern w:val="0"/>
          <w:sz w:val="32"/>
          <w:szCs w:val="32"/>
          <w:lang w:val="en-US" w:eastAsia="en-US" w:bidi="ar-SA"/>
        </w:rPr>
        <w:t xml:space="preserve"> 0</w:t>
      </w:r>
      <w:r>
        <w:rPr>
          <w:rFonts w:hint="eastAsia" w:ascii="FangSong_GB2312" w:hAnsi="FangSong_GB2312" w:eastAsia="FangSong_GB2312" w:cs="FangSong_GB2312"/>
          <w:kern w:val="0"/>
          <w:sz w:val="32"/>
          <w:szCs w:val="32"/>
          <w:lang w:val="en-US" w:eastAsia="zh-CN" w:bidi="ar-SA"/>
        </w:rPr>
        <w:t>万元、政府采购服务支出</w:t>
      </w:r>
      <w:r>
        <w:rPr>
          <w:rFonts w:hint="eastAsia" w:ascii="FangSong_GB2312" w:hAnsi="FangSong_GB2312" w:eastAsia="FangSong_GB2312" w:cs="FangSong_GB2312"/>
          <w:kern w:val="0"/>
          <w:sz w:val="32"/>
          <w:szCs w:val="32"/>
          <w:lang w:val="en-US" w:eastAsia="en-US" w:bidi="ar-SA"/>
        </w:rPr>
        <w:t xml:space="preserve"> 8.38</w:t>
      </w:r>
      <w:r>
        <w:rPr>
          <w:rFonts w:hint="eastAsia" w:ascii="FangSong_GB2312" w:hAnsi="FangSong_GB2312" w:eastAsia="FangSong_GB2312" w:cs="FangSong_GB2312"/>
          <w:kern w:val="0"/>
          <w:sz w:val="32"/>
          <w:szCs w:val="32"/>
          <w:lang w:val="en-US" w:eastAsia="zh-CN" w:bidi="ar-SA"/>
        </w:rPr>
        <w:t>万元。政府采购授予中小企业合同金额</w:t>
      </w:r>
      <w:r>
        <w:rPr>
          <w:rFonts w:hint="eastAsia" w:ascii="FangSong_GB2312" w:hAnsi="FangSong_GB2312" w:eastAsia="FangSong_GB2312" w:cs="FangSong_GB2312"/>
          <w:kern w:val="0"/>
          <w:sz w:val="32"/>
          <w:szCs w:val="32"/>
          <w:lang w:val="en-US" w:eastAsia="en-US" w:bidi="ar-SA"/>
        </w:rPr>
        <w:t xml:space="preserve"> 2.73</w:t>
      </w:r>
      <w:r>
        <w:rPr>
          <w:rFonts w:hint="eastAsia" w:ascii="FangSong_GB2312" w:hAnsi="FangSong_GB2312" w:eastAsia="FangSong_GB2312" w:cs="FangSong_GB2312"/>
          <w:kern w:val="0"/>
          <w:sz w:val="32"/>
          <w:szCs w:val="32"/>
          <w:lang w:val="en-US" w:eastAsia="zh-CN" w:bidi="ar-SA"/>
        </w:rPr>
        <w:t>万元，占政府采购支出总额的30</w:t>
      </w:r>
      <w:r>
        <w:rPr>
          <w:rFonts w:hint="eastAsia" w:ascii="FangSong_GB2312" w:hAnsi="FangSong_GB2312" w:eastAsia="FangSong_GB2312" w:cs="FangSong_GB2312"/>
          <w:kern w:val="0"/>
          <w:sz w:val="32"/>
          <w:szCs w:val="32"/>
          <w:lang w:val="en-US" w:eastAsia="en-US" w:bidi="ar-SA"/>
        </w:rPr>
        <w:t>%</w:t>
      </w:r>
      <w:r>
        <w:rPr>
          <w:rFonts w:hint="eastAsia" w:ascii="FangSong_GB2312" w:hAnsi="FangSong_GB2312" w:eastAsia="FangSong_GB2312" w:cs="FangSong_GB2312"/>
          <w:kern w:val="0"/>
          <w:sz w:val="32"/>
          <w:szCs w:val="32"/>
          <w:lang w:val="en-US" w:eastAsia="zh-CN" w:bidi="ar-SA"/>
        </w:rPr>
        <w:t>，其中：授予小微企业合同金额</w:t>
      </w:r>
      <w:r>
        <w:rPr>
          <w:rFonts w:hint="eastAsia" w:ascii="FangSong_GB2312" w:hAnsi="FangSong_GB2312" w:eastAsia="FangSong_GB2312" w:cs="FangSong_GB2312"/>
          <w:kern w:val="0"/>
          <w:sz w:val="32"/>
          <w:szCs w:val="32"/>
          <w:lang w:val="en-US" w:eastAsia="en-US" w:bidi="ar-SA"/>
        </w:rPr>
        <w:t xml:space="preserve"> 2.73</w:t>
      </w:r>
      <w:r>
        <w:rPr>
          <w:rFonts w:hint="eastAsia" w:ascii="FangSong_GB2312" w:hAnsi="FangSong_GB2312" w:eastAsia="FangSong_GB2312" w:cs="FangSong_GB2312"/>
          <w:kern w:val="0"/>
          <w:sz w:val="32"/>
          <w:szCs w:val="32"/>
          <w:lang w:val="en-US" w:eastAsia="zh-CN" w:bidi="ar-SA"/>
        </w:rPr>
        <w:t>万元，占政府采购支出总额的30</w:t>
      </w:r>
      <w:r>
        <w:rPr>
          <w:rFonts w:hint="eastAsia" w:ascii="FangSong_GB2312" w:hAnsi="FangSong_GB2312" w:eastAsia="FangSong_GB2312" w:cs="FangSong_GB2312"/>
          <w:kern w:val="0"/>
          <w:sz w:val="32"/>
          <w:szCs w:val="32"/>
          <w:lang w:val="en-US" w:eastAsia="en-US" w:bidi="ar-SA"/>
        </w:rPr>
        <w:t>%</w:t>
      </w:r>
      <w:r>
        <w:rPr>
          <w:rFonts w:hint="eastAsia" w:ascii="FangSong_GB2312" w:hAnsi="FangSong_GB2312" w:eastAsia="FangSong_GB2312" w:cs="FangSong_GB2312"/>
          <w:kern w:val="0"/>
          <w:sz w:val="32"/>
          <w:szCs w:val="32"/>
          <w:lang w:val="en-US" w:eastAsia="zh-CN" w:bidi="ar-SA"/>
        </w:rPr>
        <w:t>；货物采购授予中小企业合同金额占货物支出金额的0</w:t>
      </w:r>
      <w:r>
        <w:rPr>
          <w:rFonts w:hint="eastAsia" w:ascii="FangSong_GB2312" w:hAnsi="FangSong_GB2312" w:eastAsia="FangSong_GB2312" w:cs="FangSong_GB2312"/>
          <w:kern w:val="0"/>
          <w:sz w:val="32"/>
          <w:szCs w:val="32"/>
          <w:lang w:val="en-US" w:eastAsia="en-US" w:bidi="ar-SA"/>
        </w:rPr>
        <w:t>%</w:t>
      </w:r>
      <w:r>
        <w:rPr>
          <w:rFonts w:hint="eastAsia" w:ascii="FangSong_GB2312" w:hAnsi="FangSong_GB2312" w:eastAsia="FangSong_GB2312" w:cs="FangSong_GB2312"/>
          <w:kern w:val="0"/>
          <w:sz w:val="32"/>
          <w:szCs w:val="32"/>
          <w:lang w:val="en-US" w:eastAsia="zh-CN" w:bidi="ar-SA"/>
        </w:rPr>
        <w:t>，工程采购授予中小企业合同金额占工程支出金额的0</w:t>
      </w:r>
      <w:r>
        <w:rPr>
          <w:rFonts w:hint="eastAsia" w:ascii="FangSong_GB2312" w:hAnsi="FangSong_GB2312" w:eastAsia="FangSong_GB2312" w:cs="FangSong_GB2312"/>
          <w:kern w:val="0"/>
          <w:sz w:val="32"/>
          <w:szCs w:val="32"/>
          <w:lang w:val="en-US" w:eastAsia="en-US" w:bidi="ar-SA"/>
        </w:rPr>
        <w:t>%</w:t>
      </w:r>
      <w:r>
        <w:rPr>
          <w:rFonts w:hint="eastAsia" w:ascii="FangSong_GB2312" w:hAnsi="FangSong_GB2312" w:eastAsia="FangSong_GB2312" w:cs="FangSong_GB2312"/>
          <w:kern w:val="0"/>
          <w:sz w:val="32"/>
          <w:szCs w:val="32"/>
          <w:lang w:val="en-US" w:eastAsia="zh-CN" w:bidi="ar-SA"/>
        </w:rPr>
        <w:t>，服务采购授予中小企业合同金额占服务支出金额的0</w:t>
      </w:r>
      <w:r>
        <w:rPr>
          <w:rFonts w:hint="eastAsia" w:ascii="FangSong_GB2312" w:hAnsi="FangSong_GB2312" w:eastAsia="FangSong_GB2312" w:cs="FangSong_GB2312"/>
          <w:kern w:val="0"/>
          <w:sz w:val="32"/>
          <w:szCs w:val="32"/>
          <w:lang w:val="en-US" w:eastAsia="en-US" w:bidi="ar-SA"/>
        </w:rPr>
        <w:t>%</w:t>
      </w:r>
      <w:r>
        <w:rPr>
          <w:rFonts w:hint="eastAsia" w:ascii="FangSong_GB2312" w:hAnsi="FangSong_GB2312" w:eastAsia="FangSong_GB2312" w:cs="FangSong_GB2312"/>
          <w:kern w:val="0"/>
          <w:sz w:val="32"/>
          <w:szCs w:val="32"/>
          <w:lang w:val="en-US" w:eastAsia="zh-CN" w:bidi="ar-SA"/>
        </w:rPr>
        <w:t>。</w:t>
      </w:r>
    </w:p>
    <w:p w14:paraId="047EDE89">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十三、国有资产占用情况说明</w:t>
      </w:r>
    </w:p>
    <w:p w14:paraId="2D7E22AB">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巴彦淖尔市城市生活垃圾分类指导中心截至</w:t>
      </w:r>
      <w:r>
        <w:rPr>
          <w:rFonts w:hint="eastAsia" w:ascii="FangSong_GB2312" w:hAnsi="FangSong_GB2312" w:eastAsia="FangSong_GB2312" w:cs="FangSong_GB2312"/>
          <w:kern w:val="0"/>
          <w:sz w:val="32"/>
          <w:szCs w:val="32"/>
          <w:lang w:val="en-US" w:eastAsia="en-US" w:bidi="ar-SA"/>
        </w:rPr>
        <w:t>2025</w:t>
      </w:r>
      <w:r>
        <w:rPr>
          <w:rFonts w:hint="eastAsia" w:ascii="FangSong_GB2312" w:hAnsi="FangSong_GB2312" w:eastAsia="FangSong_GB2312" w:cs="FangSong_GB2312"/>
          <w:kern w:val="0"/>
          <w:sz w:val="32"/>
          <w:szCs w:val="32"/>
          <w:lang w:val="en-US" w:eastAsia="zh-CN" w:bidi="ar-SA"/>
        </w:rPr>
        <w:t>年</w:t>
      </w:r>
      <w:r>
        <w:rPr>
          <w:rFonts w:hint="eastAsia" w:ascii="FangSong_GB2312" w:hAnsi="FangSong_GB2312" w:eastAsia="FangSong_GB2312" w:cs="FangSong_GB2312"/>
          <w:kern w:val="0"/>
          <w:sz w:val="32"/>
          <w:szCs w:val="32"/>
          <w:lang w:val="en-US" w:eastAsia="en-US" w:bidi="ar-SA"/>
        </w:rPr>
        <w:t>12</w:t>
      </w:r>
      <w:r>
        <w:rPr>
          <w:rFonts w:hint="eastAsia" w:ascii="FangSong_GB2312" w:hAnsi="FangSong_GB2312" w:eastAsia="FangSong_GB2312" w:cs="FangSong_GB2312"/>
          <w:kern w:val="0"/>
          <w:sz w:val="32"/>
          <w:szCs w:val="32"/>
          <w:lang w:val="en-US" w:eastAsia="zh-CN" w:bidi="ar-SA"/>
        </w:rPr>
        <w:t>月</w:t>
      </w:r>
      <w:r>
        <w:rPr>
          <w:rFonts w:hint="eastAsia" w:ascii="FangSong_GB2312" w:hAnsi="FangSong_GB2312" w:eastAsia="FangSong_GB2312" w:cs="FangSong_GB2312"/>
          <w:kern w:val="0"/>
          <w:sz w:val="32"/>
          <w:szCs w:val="32"/>
          <w:lang w:val="en-US" w:eastAsia="en-US" w:bidi="ar-SA"/>
        </w:rPr>
        <w:t>31</w:t>
      </w:r>
      <w:r>
        <w:rPr>
          <w:rFonts w:hint="eastAsia" w:ascii="FangSong_GB2312" w:hAnsi="FangSong_GB2312" w:eastAsia="FangSong_GB2312" w:cs="FangSong_GB2312"/>
          <w:kern w:val="0"/>
          <w:sz w:val="32"/>
          <w:szCs w:val="32"/>
          <w:lang w:val="en-US" w:eastAsia="zh-CN" w:bidi="ar-SA"/>
        </w:rPr>
        <w:t>日，本部门（单位）共有车辆</w:t>
      </w:r>
      <w:r>
        <w:rPr>
          <w:rFonts w:hint="eastAsia" w:ascii="FangSong_GB2312" w:hAnsi="FangSong_GB2312" w:eastAsia="FangSong_GB2312" w:cs="FangSong_GB2312"/>
          <w:kern w:val="0"/>
          <w:sz w:val="32"/>
          <w:szCs w:val="32"/>
          <w:lang w:val="en-US" w:eastAsia="en-US" w:bidi="ar-SA"/>
        </w:rPr>
        <w:t xml:space="preserve">0 </w:t>
      </w:r>
      <w:r>
        <w:rPr>
          <w:rFonts w:hint="eastAsia" w:ascii="FangSong_GB2312" w:hAnsi="FangSong_GB2312" w:eastAsia="FangSong_GB2312" w:cs="FangSong_GB2312"/>
          <w:kern w:val="0"/>
          <w:sz w:val="32"/>
          <w:szCs w:val="32"/>
          <w:lang w:val="en-US" w:eastAsia="zh-CN" w:bidi="ar-SA"/>
        </w:rPr>
        <w:t>辆，其中：副部（省）级及以上领导用车</w:t>
      </w:r>
      <w:r>
        <w:rPr>
          <w:rFonts w:hint="eastAsia" w:ascii="FangSong_GB2312" w:hAnsi="FangSong_GB2312" w:eastAsia="FangSong_GB2312" w:cs="FangSong_GB2312"/>
          <w:kern w:val="0"/>
          <w:sz w:val="32"/>
          <w:szCs w:val="32"/>
          <w:lang w:val="en-US" w:eastAsia="en-US" w:bidi="ar-SA"/>
        </w:rPr>
        <w:t xml:space="preserve">0 </w:t>
      </w:r>
      <w:r>
        <w:rPr>
          <w:rFonts w:hint="eastAsia" w:ascii="FangSong_GB2312" w:hAnsi="FangSong_GB2312" w:eastAsia="FangSong_GB2312" w:cs="FangSong_GB2312"/>
          <w:kern w:val="0"/>
          <w:sz w:val="32"/>
          <w:szCs w:val="32"/>
          <w:lang w:val="en-US" w:eastAsia="zh-CN" w:bidi="ar-SA"/>
        </w:rPr>
        <w:t>辆、主要负责人用车</w:t>
      </w:r>
      <w:r>
        <w:rPr>
          <w:rFonts w:hint="eastAsia" w:ascii="FangSong_GB2312" w:hAnsi="FangSong_GB2312" w:eastAsia="FangSong_GB2312" w:cs="FangSong_GB2312"/>
          <w:kern w:val="0"/>
          <w:sz w:val="32"/>
          <w:szCs w:val="32"/>
          <w:lang w:val="en-US" w:eastAsia="en-US" w:bidi="ar-SA"/>
        </w:rPr>
        <w:t xml:space="preserve">0 </w:t>
      </w:r>
      <w:r>
        <w:rPr>
          <w:rFonts w:hint="eastAsia" w:ascii="FangSong_GB2312" w:hAnsi="FangSong_GB2312" w:eastAsia="FangSong_GB2312" w:cs="FangSong_GB2312"/>
          <w:kern w:val="0"/>
          <w:sz w:val="32"/>
          <w:szCs w:val="32"/>
          <w:lang w:val="en-US" w:eastAsia="zh-CN" w:bidi="ar-SA"/>
        </w:rPr>
        <w:t>辆、机要通信用车</w:t>
      </w:r>
      <w:r>
        <w:rPr>
          <w:rFonts w:hint="eastAsia" w:ascii="FangSong_GB2312" w:hAnsi="FangSong_GB2312" w:eastAsia="FangSong_GB2312" w:cs="FangSong_GB2312"/>
          <w:kern w:val="0"/>
          <w:sz w:val="32"/>
          <w:szCs w:val="32"/>
          <w:lang w:val="en-US" w:eastAsia="en-US" w:bidi="ar-SA"/>
        </w:rPr>
        <w:t xml:space="preserve">0 </w:t>
      </w:r>
      <w:r>
        <w:rPr>
          <w:rFonts w:hint="eastAsia" w:ascii="FangSong_GB2312" w:hAnsi="FangSong_GB2312" w:eastAsia="FangSong_GB2312" w:cs="FangSong_GB2312"/>
          <w:kern w:val="0"/>
          <w:sz w:val="32"/>
          <w:szCs w:val="32"/>
          <w:lang w:val="en-US" w:eastAsia="zh-CN" w:bidi="ar-SA"/>
        </w:rPr>
        <w:t>辆、应急保障用车</w:t>
      </w:r>
      <w:r>
        <w:rPr>
          <w:rFonts w:hint="eastAsia" w:ascii="FangSong_GB2312" w:hAnsi="FangSong_GB2312" w:eastAsia="FangSong_GB2312" w:cs="FangSong_GB2312"/>
          <w:kern w:val="0"/>
          <w:sz w:val="32"/>
          <w:szCs w:val="32"/>
          <w:lang w:val="en-US" w:eastAsia="en-US" w:bidi="ar-SA"/>
        </w:rPr>
        <w:t xml:space="preserve">0 </w:t>
      </w:r>
      <w:r>
        <w:rPr>
          <w:rFonts w:hint="eastAsia" w:ascii="FangSong_GB2312" w:hAnsi="FangSong_GB2312" w:eastAsia="FangSong_GB2312" w:cs="FangSong_GB2312"/>
          <w:kern w:val="0"/>
          <w:sz w:val="32"/>
          <w:szCs w:val="32"/>
          <w:lang w:val="en-US" w:eastAsia="zh-CN" w:bidi="ar-SA"/>
        </w:rPr>
        <w:t>辆、执法执勤用车</w:t>
      </w:r>
      <w:r>
        <w:rPr>
          <w:rFonts w:hint="eastAsia" w:ascii="FangSong_GB2312" w:hAnsi="FangSong_GB2312" w:eastAsia="FangSong_GB2312" w:cs="FangSong_GB2312"/>
          <w:kern w:val="0"/>
          <w:sz w:val="32"/>
          <w:szCs w:val="32"/>
          <w:lang w:val="en-US" w:eastAsia="en-US" w:bidi="ar-SA"/>
        </w:rPr>
        <w:t xml:space="preserve">0 </w:t>
      </w:r>
      <w:r>
        <w:rPr>
          <w:rFonts w:hint="eastAsia" w:ascii="FangSong_GB2312" w:hAnsi="FangSong_GB2312" w:eastAsia="FangSong_GB2312" w:cs="FangSong_GB2312"/>
          <w:kern w:val="0"/>
          <w:sz w:val="32"/>
          <w:szCs w:val="32"/>
          <w:lang w:val="en-US" w:eastAsia="zh-CN" w:bidi="ar-SA"/>
        </w:rPr>
        <w:t>辆、特种专业技术用车</w:t>
      </w:r>
      <w:r>
        <w:rPr>
          <w:rFonts w:hint="eastAsia" w:ascii="FangSong_GB2312" w:hAnsi="FangSong_GB2312" w:eastAsia="FangSong_GB2312" w:cs="FangSong_GB2312"/>
          <w:kern w:val="0"/>
          <w:sz w:val="32"/>
          <w:szCs w:val="32"/>
          <w:lang w:val="en-US" w:eastAsia="en-US" w:bidi="ar-SA"/>
        </w:rPr>
        <w:t xml:space="preserve">0 </w:t>
      </w:r>
      <w:r>
        <w:rPr>
          <w:rFonts w:hint="eastAsia" w:ascii="FangSong_GB2312" w:hAnsi="FangSong_GB2312" w:eastAsia="FangSong_GB2312" w:cs="FangSong_GB2312"/>
          <w:kern w:val="0"/>
          <w:sz w:val="32"/>
          <w:szCs w:val="32"/>
          <w:lang w:val="en-US" w:eastAsia="zh-CN" w:bidi="ar-SA"/>
        </w:rPr>
        <w:t>辆、离退休干部服务用车</w:t>
      </w:r>
      <w:r>
        <w:rPr>
          <w:rFonts w:hint="eastAsia" w:ascii="FangSong_GB2312" w:hAnsi="FangSong_GB2312" w:eastAsia="FangSong_GB2312" w:cs="FangSong_GB2312"/>
          <w:kern w:val="0"/>
          <w:sz w:val="32"/>
          <w:szCs w:val="32"/>
          <w:lang w:val="en-US" w:eastAsia="en-US" w:bidi="ar-SA"/>
        </w:rPr>
        <w:t xml:space="preserve">0 </w:t>
      </w:r>
      <w:r>
        <w:rPr>
          <w:rFonts w:hint="eastAsia" w:ascii="FangSong_GB2312" w:hAnsi="FangSong_GB2312" w:eastAsia="FangSong_GB2312" w:cs="FangSong_GB2312"/>
          <w:kern w:val="0"/>
          <w:sz w:val="32"/>
          <w:szCs w:val="32"/>
          <w:lang w:val="en-US" w:eastAsia="zh-CN" w:bidi="ar-SA"/>
        </w:rPr>
        <w:t>辆、其他用车</w:t>
      </w:r>
      <w:r>
        <w:rPr>
          <w:rFonts w:hint="eastAsia" w:ascii="FangSong_GB2312" w:hAnsi="FangSong_GB2312" w:eastAsia="FangSong_GB2312" w:cs="FangSong_GB2312"/>
          <w:kern w:val="0"/>
          <w:sz w:val="32"/>
          <w:szCs w:val="32"/>
          <w:lang w:val="en-US" w:eastAsia="en-US" w:bidi="ar-SA"/>
        </w:rPr>
        <w:t xml:space="preserve">0 </w:t>
      </w:r>
      <w:r>
        <w:rPr>
          <w:rFonts w:hint="eastAsia" w:ascii="FangSong_GB2312" w:hAnsi="FangSong_GB2312" w:eastAsia="FangSong_GB2312" w:cs="FangSong_GB2312"/>
          <w:kern w:val="0"/>
          <w:sz w:val="32"/>
          <w:szCs w:val="32"/>
          <w:lang w:val="en-US" w:eastAsia="zh-CN" w:bidi="ar-SA"/>
        </w:rPr>
        <w:t>辆；单价</w:t>
      </w:r>
      <w:r>
        <w:rPr>
          <w:rFonts w:hint="eastAsia" w:ascii="FangSong_GB2312" w:hAnsi="FangSong_GB2312" w:eastAsia="FangSong_GB2312" w:cs="FangSong_GB2312"/>
          <w:kern w:val="0"/>
          <w:sz w:val="32"/>
          <w:szCs w:val="32"/>
          <w:lang w:val="en-US" w:eastAsia="en-US" w:bidi="ar-SA"/>
        </w:rPr>
        <w:t>100</w:t>
      </w:r>
      <w:r>
        <w:rPr>
          <w:rFonts w:hint="eastAsia" w:ascii="FangSong_GB2312" w:hAnsi="FangSong_GB2312" w:eastAsia="FangSong_GB2312" w:cs="FangSong_GB2312"/>
          <w:kern w:val="0"/>
          <w:sz w:val="32"/>
          <w:szCs w:val="32"/>
          <w:lang w:val="en-US" w:eastAsia="zh-CN" w:bidi="ar-SA"/>
        </w:rPr>
        <w:t>万元（含）以上设备（不含车辆）</w:t>
      </w:r>
      <w:r>
        <w:rPr>
          <w:rFonts w:hint="eastAsia" w:ascii="FangSong_GB2312" w:hAnsi="FangSong_GB2312" w:eastAsia="FangSong_GB2312" w:cs="FangSong_GB2312"/>
          <w:kern w:val="0"/>
          <w:sz w:val="32"/>
          <w:szCs w:val="32"/>
          <w:lang w:val="en-US" w:eastAsia="en-US" w:bidi="ar-SA"/>
        </w:rPr>
        <w:t xml:space="preserve">0 </w:t>
      </w:r>
      <w:r>
        <w:rPr>
          <w:rFonts w:hint="eastAsia" w:ascii="FangSong_GB2312" w:hAnsi="FangSong_GB2312" w:eastAsia="FangSong_GB2312" w:cs="FangSong_GB2312"/>
          <w:kern w:val="0"/>
          <w:sz w:val="32"/>
          <w:szCs w:val="32"/>
          <w:lang w:val="en-US" w:eastAsia="zh-CN" w:bidi="ar-SA"/>
        </w:rPr>
        <w:t>台（套）。</w:t>
      </w:r>
    </w:p>
    <w:p w14:paraId="2C709FE7">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十四、预算绩效情况说明</w:t>
      </w:r>
    </w:p>
    <w:p w14:paraId="5815B1A7">
      <w:pPr>
        <w:pStyle w:val="29"/>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（一）预算绩效管理工作开展情况。</w:t>
      </w:r>
    </w:p>
    <w:p w14:paraId="755D4AB2">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巴彦淖尔市城市生活垃圾分类指导中心根据预算绩效管理要求组织对</w:t>
      </w:r>
      <w:r>
        <w:rPr>
          <w:rFonts w:hint="eastAsia" w:ascii="FangSong_GB2312" w:hAnsi="FangSong_GB2312" w:eastAsia="FangSong_GB2312" w:cs="FangSong_GB2312"/>
          <w:kern w:val="0"/>
          <w:sz w:val="32"/>
          <w:szCs w:val="32"/>
          <w:lang w:val="en-US" w:eastAsia="en-US" w:bidi="ar-SA"/>
        </w:rPr>
        <w:t>2025</w:t>
      </w:r>
      <w:r>
        <w:rPr>
          <w:rFonts w:hint="eastAsia" w:ascii="FangSong_GB2312" w:hAnsi="FangSong_GB2312" w:eastAsia="FangSong_GB2312" w:cs="FangSong_GB2312"/>
          <w:kern w:val="0"/>
          <w:sz w:val="32"/>
          <w:szCs w:val="32"/>
          <w:lang w:val="en-US" w:eastAsia="zh-CN" w:bidi="ar-SA"/>
        </w:rPr>
        <w:t>年一般公共预算项目支出全面开展绩效自评，共涉及项目1个，资金</w:t>
      </w:r>
      <w:r>
        <w:rPr>
          <w:rFonts w:hint="eastAsia" w:ascii="FangSong_GB2312" w:hAnsi="FangSong_GB2312" w:eastAsia="FangSong_GB2312" w:cs="FangSong_GB2312"/>
          <w:kern w:val="0"/>
          <w:sz w:val="32"/>
          <w:szCs w:val="32"/>
          <w:lang w:val="en-US" w:eastAsia="en-US" w:bidi="ar-SA"/>
        </w:rPr>
        <w:t xml:space="preserve"> 38.98</w:t>
      </w:r>
      <w:r>
        <w:rPr>
          <w:rFonts w:hint="eastAsia" w:ascii="FangSong_GB2312" w:hAnsi="FangSong_GB2312" w:eastAsia="FangSong_GB2312" w:cs="FangSong_GB2312"/>
          <w:kern w:val="0"/>
          <w:sz w:val="32"/>
          <w:szCs w:val="32"/>
          <w:lang w:val="en-US" w:eastAsia="zh-CN" w:bidi="ar-SA"/>
        </w:rPr>
        <w:t>万元，占一般公共预算项目支出总额的</w:t>
      </w:r>
      <w:r>
        <w:rPr>
          <w:rFonts w:hint="eastAsia" w:ascii="FangSong_GB2312" w:hAnsi="FangSong_GB2312" w:eastAsia="FangSong_GB2312" w:cs="FangSong_GB2312"/>
          <w:kern w:val="0"/>
          <w:sz w:val="32"/>
          <w:szCs w:val="32"/>
          <w:lang w:val="en-US" w:eastAsia="en-US" w:bidi="ar-SA"/>
        </w:rPr>
        <w:t>100%</w:t>
      </w:r>
      <w:r>
        <w:rPr>
          <w:rFonts w:hint="eastAsia" w:ascii="FangSong_GB2312" w:hAnsi="FangSong_GB2312" w:eastAsia="FangSong_GB2312" w:cs="FangSong_GB2312"/>
          <w:kern w:val="0"/>
          <w:sz w:val="32"/>
          <w:szCs w:val="32"/>
          <w:lang w:val="en-US" w:eastAsia="zh-CN" w:bidi="ar-SA"/>
        </w:rPr>
        <w:t>；政府性基金预算项目0个，共涉及资金0万元，占政府性基金预算项目支出总额的</w:t>
      </w:r>
      <w:r>
        <w:rPr>
          <w:rFonts w:hint="eastAsia" w:ascii="FangSong_GB2312" w:hAnsi="FangSong_GB2312" w:eastAsia="FangSong_GB2312" w:cs="FangSong_GB2312"/>
          <w:kern w:val="0"/>
          <w:sz w:val="32"/>
          <w:szCs w:val="32"/>
          <w:lang w:val="en-US" w:eastAsia="en-US" w:bidi="ar-SA"/>
        </w:rPr>
        <w:t>100%</w:t>
      </w:r>
      <w:r>
        <w:rPr>
          <w:rFonts w:hint="eastAsia" w:ascii="FangSong_GB2312" w:hAnsi="FangSong_GB2312" w:eastAsia="FangSong_GB2312" w:cs="FangSong_GB2312"/>
          <w:kern w:val="0"/>
          <w:sz w:val="32"/>
          <w:szCs w:val="32"/>
          <w:lang w:val="en-US" w:eastAsia="zh-CN" w:bidi="ar-SA"/>
        </w:rPr>
        <w:t>。</w:t>
      </w:r>
    </w:p>
    <w:p w14:paraId="5614837B">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组织对“市政公用事业保障业务经费”项目开展了部门评价，涉及一般公共预算支出38.98万元，政府性基金支出0万元。本年度市政公用事业保障业务经费预算总额为40万元，实际执行38.98万元，预算执行率97.45%。围绕城镇燃气安全、城市生活垃圾分类、水质检测三大核心任务，圆满完成2次大培训、及时进社区、进小区宣传、开展“</w:t>
      </w:r>
      <w:bookmarkStart w:id="1" w:name="_GoBack"/>
      <w:bookmarkEnd w:id="1"/>
      <w:r>
        <w:rPr>
          <w:rFonts w:hint="eastAsia" w:ascii="FangSong_GB2312" w:hAnsi="FangSong_GB2312" w:eastAsia="FangSong_GB2312" w:cs="FangSong_GB2312"/>
          <w:kern w:val="0"/>
          <w:sz w:val="32"/>
          <w:szCs w:val="32"/>
          <w:lang w:val="en-US" w:eastAsia="zh-CN" w:bidi="ar-SA"/>
        </w:rPr>
        <w:t>双随机、一公开”排查检查。整体来看，经费使用合规高效，业务推进有序有力，较好的实现了预期绩效目标，为市政业务运转提供了坚实支撑。</w:t>
      </w:r>
    </w:p>
    <w:p w14:paraId="07BE1F17">
      <w:pPr>
        <w:pStyle w:val="29"/>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（二）部门（单位）决算中项目绩效自评结果。</w:t>
      </w:r>
    </w:p>
    <w:p w14:paraId="7C14EAC2">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巴彦淖尔市城市生活垃圾分类指导中心</w:t>
      </w:r>
      <w:r>
        <w:rPr>
          <w:rFonts w:hint="eastAsia" w:ascii="FangSong_GB2312" w:hAnsi="FangSong_GB2312" w:eastAsia="FangSong_GB2312" w:cs="FangSong_GB2312"/>
          <w:kern w:val="0"/>
          <w:sz w:val="32"/>
          <w:szCs w:val="32"/>
          <w:lang w:val="en-US" w:eastAsia="en-US" w:bidi="ar-SA"/>
        </w:rPr>
        <w:t>2025</w:t>
      </w:r>
      <w:r>
        <w:rPr>
          <w:rFonts w:hint="eastAsia" w:ascii="FangSong_GB2312" w:hAnsi="FangSong_GB2312" w:eastAsia="FangSong_GB2312" w:cs="FangSong_GB2312"/>
          <w:kern w:val="0"/>
          <w:sz w:val="32"/>
          <w:szCs w:val="32"/>
          <w:lang w:val="en-US" w:eastAsia="zh-CN" w:bidi="ar-SA"/>
        </w:rPr>
        <w:t>年度在决算中反映1个一般公共预算项目，以及0个政府性基金项目。</w:t>
      </w:r>
    </w:p>
    <w:p w14:paraId="5F5FF808">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市政公用事业保障业务经费项目自评综述：根据年初设定的绩效目标，项目自评得分98.75分。全年预算数为40万元，执行数为38.98万元，完成预算的97.5</w:t>
      </w:r>
      <w:r>
        <w:rPr>
          <w:rFonts w:hint="eastAsia" w:ascii="FangSong_GB2312" w:hAnsi="FangSong_GB2312" w:eastAsia="FangSong_GB2312" w:cs="FangSong_GB2312"/>
          <w:kern w:val="0"/>
          <w:sz w:val="32"/>
          <w:szCs w:val="32"/>
          <w:lang w:val="en-US" w:eastAsia="en-US" w:bidi="ar-SA"/>
        </w:rPr>
        <w:t>%</w:t>
      </w:r>
      <w:r>
        <w:rPr>
          <w:rFonts w:hint="eastAsia" w:ascii="FangSong_GB2312" w:hAnsi="FangSong_GB2312" w:eastAsia="FangSong_GB2312" w:cs="FangSong_GB2312"/>
          <w:kern w:val="0"/>
          <w:sz w:val="32"/>
          <w:szCs w:val="32"/>
          <w:lang w:val="en-US" w:eastAsia="zh-CN" w:bidi="ar-SA"/>
        </w:rPr>
        <w:t>。项目绩效目标完成情况：本年度市政公用事业保障业务经费预算总额为40万元，实际执行38.98万元，预算执行率97.45%。围绕城镇燃气安全、城市生活垃圾分类、水质检测三大核心任务，产出成效显著。具体如下：一是开展城镇燃气安全、城市生活垃圾分类培训；二是开展垃圾分类宣传启动仪式、进社区、进小区开展宣传；三是开展全市诚镇燃气安全隐患大排查整治工作；四是制作城镇燃气安全和城市是垃圾分类动画宣传视频；四是开展全市水质检测工作，共计支出38.98万元。</w:t>
      </w:r>
    </w:p>
    <w:tbl>
      <w:tblPr>
        <w:tblStyle w:val="19"/>
        <w:tblW w:w="9261" w:type="dxa"/>
        <w:jc w:val="center"/>
        <w:tblLayout w:type="fixed"/>
        <w:tblCellMar>
          <w:top w:w="0" w:type="dxa"/>
          <w:left w:w="0" w:type="dxa"/>
          <w:bottom w:w="0" w:type="dxa"/>
          <w:right w:w="0" w:type="dxa"/>
        </w:tblCellMar>
      </w:tblPr>
      <w:tblGrid>
        <w:gridCol w:w="852"/>
        <w:gridCol w:w="786"/>
        <w:gridCol w:w="1465"/>
        <w:gridCol w:w="730"/>
        <w:gridCol w:w="847"/>
        <w:gridCol w:w="634"/>
        <w:gridCol w:w="1295"/>
        <w:gridCol w:w="676"/>
        <w:gridCol w:w="334"/>
        <w:gridCol w:w="212"/>
        <w:gridCol w:w="784"/>
        <w:gridCol w:w="600"/>
        <w:gridCol w:w="46"/>
      </w:tblGrid>
      <w:tr w14:paraId="1B0AFD15">
        <w:tblPrEx>
          <w:tblCellMar>
            <w:top w:w="0" w:type="dxa"/>
            <w:left w:w="0" w:type="dxa"/>
            <w:bottom w:w="0" w:type="dxa"/>
            <w:right w:w="0" w:type="dxa"/>
          </w:tblCellMar>
        </w:tblPrEx>
        <w:trPr>
          <w:trHeight w:val="674" w:hRule="atLeast"/>
          <w:jc w:val="center"/>
        </w:trPr>
        <w:tc>
          <w:tcPr>
            <w:tcW w:w="9261" w:type="dxa"/>
            <w:gridSpan w:val="13"/>
            <w:tcBorders>
              <w:top w:val="nil"/>
              <w:left w:val="nil"/>
              <w:bottom w:val="nil"/>
              <w:right w:val="nil"/>
              <w:tl2br w:val="nil"/>
              <w:tr2bl w:val="nil"/>
            </w:tcBorders>
            <w:shd w:val="clear" w:color="auto" w:fill="auto"/>
            <w:tcMar>
              <w:top w:w="15" w:type="dxa"/>
              <w:left w:w="15" w:type="dxa"/>
              <w:right w:w="15" w:type="dxa"/>
            </w:tcMar>
            <w:vAlign w:val="center"/>
          </w:tcPr>
          <w:p w14:paraId="7590EFA5">
            <w:pPr>
              <w:widowControl/>
              <w:jc w:val="center"/>
              <w:textAlignment w:val="center"/>
              <w:rPr>
                <w:rFonts w:asciiTheme="minorEastAsia" w:hAnsiTheme="minorEastAsia" w:eastAsiaTheme="minorEastAsia"/>
                <w:color w:val="000000"/>
                <w:sz w:val="24"/>
                <w:szCs w:val="28"/>
              </w:rPr>
            </w:pPr>
            <w:r>
              <w:rPr>
                <w:rFonts w:asciiTheme="minorEastAsia" w:hAnsiTheme="minorEastAsia" w:eastAsiaTheme="minorEastAsia"/>
                <w:kern w:val="0"/>
                <w:sz w:val="44"/>
                <w:szCs w:val="44"/>
              </w:rPr>
              <w:t>项目支出绩效自评表</w:t>
            </w:r>
          </w:p>
        </w:tc>
      </w:tr>
      <w:tr w14:paraId="63AE45D0">
        <w:tblPrEx>
          <w:tblCellMar>
            <w:top w:w="0" w:type="dxa"/>
            <w:left w:w="0" w:type="dxa"/>
            <w:bottom w:w="0" w:type="dxa"/>
            <w:right w:w="0" w:type="dxa"/>
          </w:tblCellMar>
        </w:tblPrEx>
        <w:trPr>
          <w:gridAfter w:val="1"/>
          <w:wAfter w:w="46" w:type="dxa"/>
          <w:trHeight w:val="304" w:hRule="atLeast"/>
          <w:jc w:val="center"/>
        </w:trPr>
        <w:tc>
          <w:tcPr>
            <w:tcW w:w="9215" w:type="dxa"/>
            <w:gridSpan w:val="12"/>
            <w:tcBorders>
              <w:top w:val="nil"/>
              <w:left w:val="nil"/>
              <w:bottom w:val="nil"/>
              <w:right w:val="nil"/>
              <w:tl2br w:val="nil"/>
              <w:tr2bl w:val="nil"/>
            </w:tcBorders>
          </w:tcPr>
          <w:p w14:paraId="432DD59E">
            <w:pPr>
              <w:widowControl/>
              <w:spacing w:line="240" w:lineRule="exact"/>
              <w:jc w:val="center"/>
              <w:rPr>
                <w:kern w:val="0"/>
                <w:sz w:val="22"/>
                <w:szCs w:val="22"/>
              </w:rPr>
            </w:pPr>
            <w:r>
              <w:rPr>
                <w:rFonts w:eastAsia="仿宋_GB2312"/>
                <w:kern w:val="0"/>
                <w:sz w:val="24"/>
              </w:rPr>
              <w:t>（</w:t>
            </w:r>
            <w:r>
              <w:rPr>
                <w:rFonts w:hint="eastAsia" w:eastAsia="仿宋_GB2312"/>
                <w:kern w:val="0"/>
                <w:sz w:val="24"/>
                <w:lang w:val="en-US" w:eastAsia="zh-CN"/>
              </w:rPr>
              <w:t>2025</w:t>
            </w:r>
            <w:r>
              <w:rPr>
                <w:rFonts w:eastAsia="仿宋_GB2312"/>
                <w:kern w:val="0"/>
                <w:sz w:val="24"/>
              </w:rPr>
              <w:t>年度）</w:t>
            </w:r>
          </w:p>
        </w:tc>
      </w:tr>
      <w:tr w14:paraId="2FDE96AD">
        <w:tblPrEx>
          <w:tblCellMar>
            <w:top w:w="0" w:type="dxa"/>
            <w:left w:w="0" w:type="dxa"/>
            <w:bottom w:w="0" w:type="dxa"/>
            <w:right w:w="0" w:type="dxa"/>
          </w:tblCellMar>
        </w:tblPrEx>
        <w:trPr>
          <w:gridAfter w:val="1"/>
          <w:wAfter w:w="46" w:type="dxa"/>
          <w:jc w:val="center"/>
        </w:trPr>
        <w:tc>
          <w:tcPr>
            <w:tcW w:w="1638"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30F47C5">
            <w:pPr>
              <w:widowControl/>
              <w:spacing w:line="240" w:lineRule="exact"/>
              <w:jc w:val="center"/>
              <w:rPr>
                <w:rFonts w:hint="eastAsia" w:ascii="仿宋_GB2312" w:eastAsia="仿宋_GB2312"/>
                <w:kern w:val="0"/>
                <w:sz w:val="24"/>
              </w:rPr>
            </w:pPr>
            <w:r>
              <w:rPr>
                <w:rFonts w:hint="eastAsia" w:ascii="仿宋_GB2312" w:eastAsia="仿宋_GB2312"/>
                <w:kern w:val="0"/>
                <w:sz w:val="24"/>
              </w:rPr>
              <w:t>项目名称</w:t>
            </w:r>
          </w:p>
        </w:tc>
        <w:tc>
          <w:tcPr>
            <w:tcW w:w="7577" w:type="dxa"/>
            <w:gridSpan w:val="10"/>
            <w:tcBorders>
              <w:top w:val="single" w:color="auto" w:sz="4" w:space="0"/>
              <w:left w:val="nil"/>
              <w:bottom w:val="single" w:color="auto" w:sz="4" w:space="0"/>
              <w:right w:val="single" w:color="auto" w:sz="4" w:space="0"/>
              <w:tl2br w:val="nil"/>
              <w:tr2bl w:val="nil"/>
            </w:tcBorders>
            <w:vAlign w:val="center"/>
          </w:tcPr>
          <w:p w14:paraId="6F456409">
            <w:pPr>
              <w:widowControl/>
              <w:spacing w:line="240" w:lineRule="exact"/>
              <w:jc w:val="center"/>
              <w:rPr>
                <w:rFonts w:hint="eastAsia" w:ascii="仿宋_GB2312" w:eastAsia="仿宋_GB2312"/>
                <w:kern w:val="0"/>
                <w:sz w:val="24"/>
                <w:lang w:eastAsia="zh-CN"/>
              </w:rPr>
            </w:pPr>
            <w:r>
              <w:rPr>
                <w:rFonts w:hint="eastAsia" w:ascii="仿宋_GB2312" w:eastAsia="仿宋_GB2312"/>
                <w:kern w:val="0"/>
                <w:sz w:val="24"/>
                <w:lang w:eastAsia="zh-CN"/>
              </w:rPr>
              <w:t>市政公用事业保障业务经费</w:t>
            </w:r>
          </w:p>
        </w:tc>
      </w:tr>
      <w:tr w14:paraId="5E9D3DBC">
        <w:tblPrEx>
          <w:tblCellMar>
            <w:top w:w="0" w:type="dxa"/>
            <w:left w:w="0" w:type="dxa"/>
            <w:bottom w:w="0" w:type="dxa"/>
            <w:right w:w="0" w:type="dxa"/>
          </w:tblCellMar>
        </w:tblPrEx>
        <w:trPr>
          <w:gridAfter w:val="1"/>
          <w:wAfter w:w="46" w:type="dxa"/>
          <w:jc w:val="center"/>
        </w:trPr>
        <w:tc>
          <w:tcPr>
            <w:tcW w:w="1638"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7AAA3CA">
            <w:pPr>
              <w:widowControl/>
              <w:spacing w:line="240" w:lineRule="exact"/>
              <w:jc w:val="center"/>
              <w:rPr>
                <w:rFonts w:hint="eastAsia" w:ascii="仿宋_GB2312" w:eastAsia="仿宋_GB2312"/>
                <w:kern w:val="0"/>
                <w:sz w:val="24"/>
              </w:rPr>
            </w:pPr>
            <w:r>
              <w:rPr>
                <w:rFonts w:hint="eastAsia" w:ascii="仿宋_GB2312" w:eastAsia="仿宋_GB2312"/>
                <w:kern w:val="0"/>
                <w:sz w:val="24"/>
              </w:rPr>
              <w:t>主管部门</w:t>
            </w:r>
          </w:p>
        </w:tc>
        <w:tc>
          <w:tcPr>
            <w:tcW w:w="3676" w:type="dxa"/>
            <w:gridSpan w:val="4"/>
            <w:tcBorders>
              <w:top w:val="single" w:color="auto" w:sz="4" w:space="0"/>
              <w:left w:val="nil"/>
              <w:bottom w:val="single" w:color="auto" w:sz="4" w:space="0"/>
              <w:right w:val="single" w:color="auto" w:sz="4" w:space="0"/>
              <w:tl2br w:val="nil"/>
              <w:tr2bl w:val="nil"/>
            </w:tcBorders>
            <w:vAlign w:val="center"/>
          </w:tcPr>
          <w:p w14:paraId="0F76D242">
            <w:pPr>
              <w:widowControl/>
              <w:spacing w:line="240" w:lineRule="exact"/>
              <w:jc w:val="center"/>
              <w:rPr>
                <w:rFonts w:hint="eastAsia" w:ascii="仿宋_GB2312" w:eastAsia="仿宋_GB2312"/>
                <w:kern w:val="0"/>
                <w:sz w:val="24"/>
              </w:rPr>
            </w:pPr>
            <w:r>
              <w:rPr>
                <w:rFonts w:hint="eastAsia" w:ascii="仿宋_GB2312" w:eastAsia="仿宋_GB2312"/>
                <w:kern w:val="0"/>
                <w:sz w:val="24"/>
              </w:rPr>
              <w:t>巴彦淖尔市住房和城乡建设局</w:t>
            </w:r>
          </w:p>
        </w:tc>
        <w:tc>
          <w:tcPr>
            <w:tcW w:w="1295" w:type="dxa"/>
            <w:tcBorders>
              <w:top w:val="nil"/>
              <w:left w:val="nil"/>
              <w:bottom w:val="single" w:color="auto" w:sz="4" w:space="0"/>
              <w:right w:val="single" w:color="auto" w:sz="4" w:space="0"/>
              <w:tl2br w:val="nil"/>
              <w:tr2bl w:val="nil"/>
            </w:tcBorders>
            <w:vAlign w:val="center"/>
          </w:tcPr>
          <w:p w14:paraId="1FB69DD5">
            <w:pPr>
              <w:widowControl/>
              <w:spacing w:line="240" w:lineRule="exact"/>
              <w:jc w:val="center"/>
              <w:rPr>
                <w:rFonts w:hint="eastAsia" w:ascii="仿宋_GB2312" w:eastAsia="仿宋_GB2312"/>
                <w:kern w:val="0"/>
                <w:sz w:val="24"/>
              </w:rPr>
            </w:pPr>
            <w:r>
              <w:rPr>
                <w:rFonts w:hint="eastAsia" w:ascii="仿宋_GB2312" w:eastAsia="仿宋_GB2312"/>
                <w:kern w:val="0"/>
                <w:sz w:val="24"/>
              </w:rPr>
              <w:t>实施单位</w:t>
            </w:r>
          </w:p>
        </w:tc>
        <w:tc>
          <w:tcPr>
            <w:tcW w:w="2606" w:type="dxa"/>
            <w:gridSpan w:val="5"/>
            <w:tcBorders>
              <w:top w:val="single" w:color="auto" w:sz="4" w:space="0"/>
              <w:left w:val="nil"/>
              <w:bottom w:val="single" w:color="auto" w:sz="4" w:space="0"/>
              <w:right w:val="single" w:color="auto" w:sz="4" w:space="0"/>
              <w:tl2br w:val="nil"/>
              <w:tr2bl w:val="nil"/>
            </w:tcBorders>
            <w:vAlign w:val="center"/>
          </w:tcPr>
          <w:p w14:paraId="7698D615">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rPr>
              <w:t>巴彦淖尔市</w:t>
            </w:r>
            <w:r>
              <w:rPr>
                <w:rFonts w:hint="eastAsia" w:ascii="仿宋_GB2312" w:eastAsia="仿宋_GB2312"/>
                <w:kern w:val="0"/>
                <w:sz w:val="24"/>
                <w:lang w:val="en-US" w:eastAsia="zh-CN"/>
              </w:rPr>
              <w:t>市政公用事业服务中心</w:t>
            </w:r>
          </w:p>
        </w:tc>
      </w:tr>
      <w:tr w14:paraId="091A01C7">
        <w:tblPrEx>
          <w:tblCellMar>
            <w:top w:w="0" w:type="dxa"/>
            <w:left w:w="0" w:type="dxa"/>
            <w:bottom w:w="0" w:type="dxa"/>
            <w:right w:w="0" w:type="dxa"/>
          </w:tblCellMar>
        </w:tblPrEx>
        <w:trPr>
          <w:gridAfter w:val="1"/>
          <w:wAfter w:w="46" w:type="dxa"/>
          <w:jc w:val="center"/>
        </w:trPr>
        <w:tc>
          <w:tcPr>
            <w:tcW w:w="1638" w:type="dxa"/>
            <w:gridSpan w:val="2"/>
            <w:vMerge w:val="restart"/>
            <w:tcBorders>
              <w:top w:val="single" w:color="auto" w:sz="4" w:space="0"/>
              <w:left w:val="single" w:color="auto" w:sz="4" w:space="0"/>
              <w:bottom w:val="single" w:color="auto" w:sz="4" w:space="0"/>
              <w:right w:val="single" w:color="auto" w:sz="4" w:space="0"/>
              <w:tl2br w:val="nil"/>
              <w:tr2bl w:val="nil"/>
            </w:tcBorders>
            <w:vAlign w:val="center"/>
          </w:tcPr>
          <w:p w14:paraId="70EA8315">
            <w:pPr>
              <w:widowControl/>
              <w:spacing w:line="240" w:lineRule="exact"/>
              <w:jc w:val="center"/>
              <w:rPr>
                <w:rFonts w:hint="eastAsia" w:ascii="仿宋_GB2312" w:eastAsia="仿宋_GB2312"/>
                <w:kern w:val="0"/>
                <w:sz w:val="24"/>
                <w:lang w:eastAsia="zh-CN"/>
              </w:rPr>
            </w:pPr>
            <w:r>
              <w:rPr>
                <w:rFonts w:hint="eastAsia" w:ascii="仿宋_GB2312" w:eastAsia="仿宋_GB2312"/>
                <w:kern w:val="0"/>
                <w:sz w:val="24"/>
              </w:rPr>
              <w:t>项目资金</w:t>
            </w:r>
          </w:p>
          <w:p w14:paraId="10BD8C82">
            <w:pPr>
              <w:widowControl/>
              <w:spacing w:line="240" w:lineRule="exact"/>
              <w:jc w:val="center"/>
              <w:rPr>
                <w:rFonts w:hint="eastAsia" w:ascii="仿宋_GB2312" w:eastAsia="仿宋_GB2312"/>
                <w:kern w:val="0"/>
                <w:sz w:val="24"/>
              </w:rPr>
            </w:pPr>
            <w:r>
              <w:rPr>
                <w:rFonts w:hint="eastAsia" w:ascii="仿宋_GB2312" w:eastAsia="仿宋_GB2312"/>
                <w:kern w:val="0"/>
                <w:sz w:val="24"/>
              </w:rPr>
              <w:t>（万元）</w:t>
            </w:r>
          </w:p>
        </w:tc>
        <w:tc>
          <w:tcPr>
            <w:tcW w:w="2195" w:type="dxa"/>
            <w:gridSpan w:val="2"/>
            <w:tcBorders>
              <w:top w:val="single" w:color="auto" w:sz="4" w:space="0"/>
              <w:left w:val="nil"/>
              <w:bottom w:val="single" w:color="auto" w:sz="4" w:space="0"/>
              <w:right w:val="single" w:color="auto" w:sz="4" w:space="0"/>
              <w:tl2br w:val="nil"/>
              <w:tr2bl w:val="nil"/>
            </w:tcBorders>
            <w:vAlign w:val="center"/>
          </w:tcPr>
          <w:p w14:paraId="5C132484">
            <w:pPr>
              <w:widowControl/>
              <w:spacing w:line="240" w:lineRule="exact"/>
              <w:jc w:val="center"/>
              <w:rPr>
                <w:rFonts w:hint="eastAsia" w:ascii="仿宋_GB2312" w:eastAsia="仿宋_GB2312"/>
                <w:kern w:val="0"/>
                <w:sz w:val="24"/>
              </w:rPr>
            </w:pPr>
          </w:p>
        </w:tc>
        <w:tc>
          <w:tcPr>
            <w:tcW w:w="847" w:type="dxa"/>
            <w:tcBorders>
              <w:top w:val="nil"/>
              <w:left w:val="nil"/>
              <w:bottom w:val="single" w:color="auto" w:sz="4" w:space="0"/>
              <w:right w:val="single" w:color="auto" w:sz="4" w:space="0"/>
              <w:tl2br w:val="nil"/>
              <w:tr2bl w:val="nil"/>
            </w:tcBorders>
            <w:vAlign w:val="center"/>
          </w:tcPr>
          <w:p w14:paraId="41CCF516">
            <w:pPr>
              <w:widowControl/>
              <w:spacing w:line="240" w:lineRule="exact"/>
              <w:jc w:val="center"/>
              <w:rPr>
                <w:rFonts w:hint="eastAsia" w:ascii="仿宋_GB2312" w:eastAsia="仿宋_GB2312"/>
                <w:kern w:val="0"/>
                <w:sz w:val="24"/>
              </w:rPr>
            </w:pPr>
            <w:r>
              <w:rPr>
                <w:rFonts w:hint="eastAsia" w:ascii="仿宋_GB2312" w:eastAsia="仿宋_GB2312"/>
                <w:kern w:val="0"/>
                <w:sz w:val="24"/>
              </w:rPr>
              <w:t>年初</w:t>
            </w:r>
          </w:p>
          <w:p w14:paraId="07C7216A">
            <w:pPr>
              <w:widowControl/>
              <w:spacing w:line="240" w:lineRule="exact"/>
              <w:jc w:val="center"/>
              <w:rPr>
                <w:rFonts w:hint="eastAsia" w:ascii="仿宋_GB2312" w:eastAsia="仿宋_GB2312"/>
                <w:kern w:val="0"/>
                <w:sz w:val="24"/>
              </w:rPr>
            </w:pPr>
            <w:r>
              <w:rPr>
                <w:rFonts w:hint="eastAsia" w:ascii="仿宋_GB2312" w:eastAsia="仿宋_GB2312"/>
                <w:kern w:val="0"/>
                <w:sz w:val="24"/>
              </w:rPr>
              <w:t>预算数</w:t>
            </w:r>
          </w:p>
        </w:tc>
        <w:tc>
          <w:tcPr>
            <w:tcW w:w="634" w:type="dxa"/>
            <w:tcBorders>
              <w:top w:val="nil"/>
              <w:left w:val="nil"/>
              <w:bottom w:val="single" w:color="auto" w:sz="4" w:space="0"/>
              <w:right w:val="single" w:color="auto" w:sz="4" w:space="0"/>
              <w:tl2br w:val="nil"/>
              <w:tr2bl w:val="nil"/>
            </w:tcBorders>
            <w:vAlign w:val="center"/>
          </w:tcPr>
          <w:p w14:paraId="35FD2B40">
            <w:pPr>
              <w:widowControl/>
              <w:spacing w:line="240" w:lineRule="exact"/>
              <w:jc w:val="center"/>
              <w:rPr>
                <w:rFonts w:hint="eastAsia" w:ascii="仿宋_GB2312" w:eastAsia="仿宋_GB2312"/>
                <w:kern w:val="0"/>
                <w:sz w:val="24"/>
              </w:rPr>
            </w:pPr>
            <w:r>
              <w:rPr>
                <w:rFonts w:hint="eastAsia" w:ascii="仿宋_GB2312" w:eastAsia="仿宋_GB2312"/>
                <w:kern w:val="0"/>
                <w:sz w:val="24"/>
              </w:rPr>
              <w:t>全年</w:t>
            </w:r>
          </w:p>
          <w:p w14:paraId="0F707A6F">
            <w:pPr>
              <w:widowControl/>
              <w:spacing w:line="240" w:lineRule="exact"/>
              <w:jc w:val="center"/>
              <w:rPr>
                <w:rFonts w:hint="eastAsia" w:ascii="仿宋_GB2312" w:eastAsia="仿宋_GB2312"/>
                <w:kern w:val="0"/>
                <w:sz w:val="24"/>
              </w:rPr>
            </w:pPr>
            <w:r>
              <w:rPr>
                <w:rFonts w:hint="eastAsia" w:ascii="仿宋_GB2312" w:eastAsia="仿宋_GB2312"/>
                <w:kern w:val="0"/>
                <w:sz w:val="24"/>
              </w:rPr>
              <w:t>预算数</w:t>
            </w:r>
          </w:p>
        </w:tc>
        <w:tc>
          <w:tcPr>
            <w:tcW w:w="1295" w:type="dxa"/>
            <w:tcBorders>
              <w:top w:val="nil"/>
              <w:left w:val="nil"/>
              <w:bottom w:val="single" w:color="auto" w:sz="4" w:space="0"/>
              <w:right w:val="single" w:color="auto" w:sz="4" w:space="0"/>
              <w:tl2br w:val="nil"/>
              <w:tr2bl w:val="nil"/>
            </w:tcBorders>
            <w:vAlign w:val="center"/>
          </w:tcPr>
          <w:p w14:paraId="4786BF2E">
            <w:pPr>
              <w:widowControl/>
              <w:spacing w:line="240" w:lineRule="exact"/>
              <w:jc w:val="center"/>
              <w:rPr>
                <w:rFonts w:hint="eastAsia" w:ascii="仿宋_GB2312" w:eastAsia="仿宋_GB2312"/>
                <w:kern w:val="0"/>
                <w:sz w:val="24"/>
              </w:rPr>
            </w:pPr>
            <w:r>
              <w:rPr>
                <w:rFonts w:hint="eastAsia" w:ascii="仿宋_GB2312" w:eastAsia="仿宋_GB2312"/>
                <w:kern w:val="0"/>
                <w:sz w:val="24"/>
              </w:rPr>
              <w:t>全年</w:t>
            </w:r>
          </w:p>
          <w:p w14:paraId="43D96BAE">
            <w:pPr>
              <w:widowControl/>
              <w:spacing w:line="240" w:lineRule="exact"/>
              <w:jc w:val="center"/>
              <w:rPr>
                <w:rFonts w:hint="eastAsia" w:ascii="仿宋_GB2312" w:eastAsia="仿宋_GB2312"/>
                <w:kern w:val="0"/>
                <w:sz w:val="24"/>
              </w:rPr>
            </w:pPr>
            <w:r>
              <w:rPr>
                <w:rFonts w:hint="eastAsia" w:ascii="仿宋_GB2312" w:eastAsia="仿宋_GB2312"/>
                <w:kern w:val="0"/>
                <w:sz w:val="24"/>
              </w:rPr>
              <w:t>执行数</w:t>
            </w:r>
          </w:p>
        </w:tc>
        <w:tc>
          <w:tcPr>
            <w:tcW w:w="1010" w:type="dxa"/>
            <w:gridSpan w:val="2"/>
            <w:tcBorders>
              <w:top w:val="nil"/>
              <w:left w:val="nil"/>
              <w:bottom w:val="single" w:color="auto" w:sz="4" w:space="0"/>
              <w:right w:val="single" w:color="auto" w:sz="4" w:space="0"/>
              <w:tl2br w:val="nil"/>
              <w:tr2bl w:val="nil"/>
            </w:tcBorders>
            <w:vAlign w:val="center"/>
          </w:tcPr>
          <w:p w14:paraId="6B08B3F4">
            <w:pPr>
              <w:widowControl/>
              <w:spacing w:line="240" w:lineRule="exact"/>
              <w:jc w:val="center"/>
              <w:rPr>
                <w:rFonts w:hint="eastAsia" w:ascii="仿宋_GB2312" w:eastAsia="仿宋_GB2312"/>
                <w:kern w:val="0"/>
                <w:sz w:val="24"/>
              </w:rPr>
            </w:pPr>
            <w:r>
              <w:rPr>
                <w:rFonts w:hint="eastAsia" w:ascii="仿宋_GB2312" w:eastAsia="仿宋_GB2312"/>
                <w:kern w:val="0"/>
                <w:sz w:val="24"/>
              </w:rPr>
              <w:t>分值</w:t>
            </w:r>
          </w:p>
        </w:tc>
        <w:tc>
          <w:tcPr>
            <w:tcW w:w="996" w:type="dxa"/>
            <w:gridSpan w:val="2"/>
            <w:tcBorders>
              <w:top w:val="single" w:color="auto" w:sz="4" w:space="0"/>
              <w:left w:val="nil"/>
              <w:bottom w:val="single" w:color="auto" w:sz="4" w:space="0"/>
              <w:right w:val="single" w:color="auto" w:sz="4" w:space="0"/>
              <w:tl2br w:val="nil"/>
              <w:tr2bl w:val="nil"/>
            </w:tcBorders>
            <w:vAlign w:val="center"/>
          </w:tcPr>
          <w:p w14:paraId="0A1ED8BB">
            <w:pPr>
              <w:widowControl/>
              <w:spacing w:line="240" w:lineRule="exact"/>
              <w:jc w:val="center"/>
              <w:rPr>
                <w:rFonts w:hint="eastAsia" w:ascii="仿宋_GB2312" w:eastAsia="仿宋_GB2312"/>
                <w:kern w:val="0"/>
                <w:sz w:val="24"/>
              </w:rPr>
            </w:pPr>
            <w:r>
              <w:rPr>
                <w:rFonts w:hint="eastAsia" w:ascii="仿宋_GB2312" w:eastAsia="仿宋_GB2312"/>
                <w:kern w:val="0"/>
                <w:sz w:val="24"/>
              </w:rPr>
              <w:t>执行率</w:t>
            </w:r>
          </w:p>
        </w:tc>
        <w:tc>
          <w:tcPr>
            <w:tcW w:w="600" w:type="dxa"/>
            <w:tcBorders>
              <w:top w:val="nil"/>
              <w:left w:val="nil"/>
              <w:bottom w:val="single" w:color="auto" w:sz="4" w:space="0"/>
              <w:right w:val="single" w:color="auto" w:sz="4" w:space="0"/>
              <w:tl2br w:val="nil"/>
              <w:tr2bl w:val="nil"/>
            </w:tcBorders>
            <w:vAlign w:val="center"/>
          </w:tcPr>
          <w:p w14:paraId="01FAD6C1">
            <w:pPr>
              <w:widowControl/>
              <w:spacing w:line="240" w:lineRule="exact"/>
              <w:jc w:val="center"/>
              <w:rPr>
                <w:rFonts w:hint="eastAsia" w:ascii="仿宋_GB2312" w:eastAsia="仿宋_GB2312"/>
                <w:kern w:val="0"/>
                <w:sz w:val="24"/>
              </w:rPr>
            </w:pPr>
            <w:r>
              <w:rPr>
                <w:rFonts w:hint="eastAsia" w:ascii="仿宋_GB2312" w:eastAsia="仿宋_GB2312"/>
                <w:kern w:val="0"/>
                <w:sz w:val="24"/>
              </w:rPr>
              <w:t>得分</w:t>
            </w:r>
          </w:p>
        </w:tc>
      </w:tr>
      <w:tr w14:paraId="188D96D7">
        <w:tblPrEx>
          <w:tblCellMar>
            <w:top w:w="0" w:type="dxa"/>
            <w:left w:w="0" w:type="dxa"/>
            <w:bottom w:w="0" w:type="dxa"/>
            <w:right w:w="0" w:type="dxa"/>
          </w:tblCellMar>
        </w:tblPrEx>
        <w:trPr>
          <w:gridAfter w:val="1"/>
          <w:wAfter w:w="46" w:type="dxa"/>
          <w:trHeight w:val="90" w:hRule="atLeast"/>
          <w:jc w:val="center"/>
        </w:trPr>
        <w:tc>
          <w:tcPr>
            <w:tcW w:w="1638"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01D03FB3">
            <w:pPr>
              <w:rPr>
                <w:rFonts w:hint="eastAsia" w:ascii="仿宋_GB2312" w:eastAsia="仿宋_GB2312"/>
              </w:rPr>
            </w:pPr>
          </w:p>
        </w:tc>
        <w:tc>
          <w:tcPr>
            <w:tcW w:w="2195" w:type="dxa"/>
            <w:gridSpan w:val="2"/>
            <w:tcBorders>
              <w:top w:val="single" w:color="auto" w:sz="4" w:space="0"/>
              <w:left w:val="nil"/>
              <w:bottom w:val="single" w:color="auto" w:sz="4" w:space="0"/>
              <w:right w:val="single" w:color="auto" w:sz="4" w:space="0"/>
              <w:tl2br w:val="nil"/>
              <w:tr2bl w:val="nil"/>
            </w:tcBorders>
            <w:vAlign w:val="center"/>
          </w:tcPr>
          <w:p w14:paraId="286CD278">
            <w:pPr>
              <w:widowControl/>
              <w:spacing w:line="240" w:lineRule="exact"/>
              <w:rPr>
                <w:rFonts w:hint="eastAsia" w:ascii="仿宋_GB2312" w:eastAsia="仿宋_GB2312"/>
                <w:kern w:val="0"/>
                <w:sz w:val="24"/>
              </w:rPr>
            </w:pPr>
            <w:r>
              <w:rPr>
                <w:rFonts w:hint="eastAsia" w:ascii="仿宋_GB2312" w:eastAsia="仿宋_GB2312"/>
                <w:kern w:val="0"/>
                <w:sz w:val="24"/>
              </w:rPr>
              <w:t>年度资金总额</w:t>
            </w:r>
          </w:p>
        </w:tc>
        <w:tc>
          <w:tcPr>
            <w:tcW w:w="847" w:type="dxa"/>
            <w:tcBorders>
              <w:top w:val="nil"/>
              <w:left w:val="nil"/>
              <w:bottom w:val="single" w:color="auto" w:sz="4" w:space="0"/>
              <w:right w:val="single" w:color="auto" w:sz="4" w:space="0"/>
              <w:tl2br w:val="nil"/>
              <w:tr2bl w:val="nil"/>
            </w:tcBorders>
            <w:vAlign w:val="center"/>
          </w:tcPr>
          <w:p w14:paraId="38804F3A">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40</w:t>
            </w:r>
          </w:p>
        </w:tc>
        <w:tc>
          <w:tcPr>
            <w:tcW w:w="634" w:type="dxa"/>
            <w:tcBorders>
              <w:top w:val="nil"/>
              <w:left w:val="nil"/>
              <w:bottom w:val="single" w:color="auto" w:sz="4" w:space="0"/>
              <w:right w:val="single" w:color="auto" w:sz="4" w:space="0"/>
              <w:tl2br w:val="nil"/>
              <w:tr2bl w:val="nil"/>
            </w:tcBorders>
            <w:vAlign w:val="center"/>
          </w:tcPr>
          <w:p w14:paraId="0D52B746">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40</w:t>
            </w:r>
          </w:p>
        </w:tc>
        <w:tc>
          <w:tcPr>
            <w:tcW w:w="1295" w:type="dxa"/>
            <w:tcBorders>
              <w:top w:val="nil"/>
              <w:left w:val="nil"/>
              <w:bottom w:val="single" w:color="auto" w:sz="4" w:space="0"/>
              <w:right w:val="single" w:color="auto" w:sz="4" w:space="0"/>
              <w:tl2br w:val="nil"/>
              <w:tr2bl w:val="nil"/>
            </w:tcBorders>
            <w:vAlign w:val="center"/>
          </w:tcPr>
          <w:p w14:paraId="4E01AB91">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38.98</w:t>
            </w:r>
          </w:p>
        </w:tc>
        <w:tc>
          <w:tcPr>
            <w:tcW w:w="1010" w:type="dxa"/>
            <w:gridSpan w:val="2"/>
            <w:tcBorders>
              <w:top w:val="nil"/>
              <w:left w:val="nil"/>
              <w:bottom w:val="single" w:color="auto" w:sz="4" w:space="0"/>
              <w:right w:val="single" w:color="auto" w:sz="4" w:space="0"/>
              <w:tl2br w:val="nil"/>
              <w:tr2bl w:val="nil"/>
            </w:tcBorders>
            <w:vAlign w:val="center"/>
          </w:tcPr>
          <w:p w14:paraId="23F9AE0C">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10</w:t>
            </w:r>
          </w:p>
        </w:tc>
        <w:tc>
          <w:tcPr>
            <w:tcW w:w="996" w:type="dxa"/>
            <w:gridSpan w:val="2"/>
            <w:tcBorders>
              <w:top w:val="single" w:color="auto" w:sz="4" w:space="0"/>
              <w:left w:val="nil"/>
              <w:bottom w:val="single" w:color="auto" w:sz="4" w:space="0"/>
              <w:right w:val="single" w:color="auto" w:sz="4" w:space="0"/>
              <w:tl2br w:val="nil"/>
              <w:tr2bl w:val="nil"/>
            </w:tcBorders>
            <w:vAlign w:val="center"/>
          </w:tcPr>
          <w:p w14:paraId="05B1D2F0">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97.45%</w:t>
            </w:r>
          </w:p>
        </w:tc>
        <w:tc>
          <w:tcPr>
            <w:tcW w:w="600" w:type="dxa"/>
            <w:tcBorders>
              <w:top w:val="nil"/>
              <w:left w:val="nil"/>
              <w:bottom w:val="single" w:color="auto" w:sz="4" w:space="0"/>
              <w:right w:val="single" w:color="auto" w:sz="4" w:space="0"/>
              <w:tl2br w:val="nil"/>
              <w:tr2bl w:val="nil"/>
            </w:tcBorders>
            <w:vAlign w:val="center"/>
          </w:tcPr>
          <w:p w14:paraId="58FB4F97">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9.75</w:t>
            </w:r>
          </w:p>
        </w:tc>
      </w:tr>
      <w:tr w14:paraId="260FBDA0">
        <w:tblPrEx>
          <w:tblCellMar>
            <w:top w:w="0" w:type="dxa"/>
            <w:left w:w="0" w:type="dxa"/>
            <w:bottom w:w="0" w:type="dxa"/>
            <w:right w:w="0" w:type="dxa"/>
          </w:tblCellMar>
        </w:tblPrEx>
        <w:trPr>
          <w:gridAfter w:val="1"/>
          <w:wAfter w:w="46" w:type="dxa"/>
          <w:jc w:val="center"/>
        </w:trPr>
        <w:tc>
          <w:tcPr>
            <w:tcW w:w="1638"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1C5D0643">
            <w:pPr>
              <w:rPr>
                <w:rFonts w:hint="eastAsia" w:ascii="仿宋_GB2312" w:eastAsia="仿宋_GB2312"/>
              </w:rPr>
            </w:pPr>
          </w:p>
        </w:tc>
        <w:tc>
          <w:tcPr>
            <w:tcW w:w="2195" w:type="dxa"/>
            <w:gridSpan w:val="2"/>
            <w:tcBorders>
              <w:top w:val="single" w:color="auto" w:sz="4" w:space="0"/>
              <w:left w:val="nil"/>
              <w:bottom w:val="single" w:color="auto" w:sz="4" w:space="0"/>
              <w:right w:val="single" w:color="auto" w:sz="4" w:space="0"/>
              <w:tl2br w:val="nil"/>
              <w:tr2bl w:val="nil"/>
            </w:tcBorders>
            <w:vAlign w:val="center"/>
          </w:tcPr>
          <w:p w14:paraId="0011449B">
            <w:pPr>
              <w:widowControl/>
              <w:spacing w:line="240" w:lineRule="exact"/>
              <w:jc w:val="left"/>
              <w:rPr>
                <w:rFonts w:hint="eastAsia" w:ascii="仿宋_GB2312" w:eastAsia="仿宋_GB2312"/>
                <w:kern w:val="0"/>
                <w:sz w:val="24"/>
              </w:rPr>
            </w:pPr>
            <w:r>
              <w:rPr>
                <w:rFonts w:hint="eastAsia" w:ascii="仿宋_GB2312" w:eastAsia="仿宋_GB2312"/>
                <w:kern w:val="0"/>
                <w:sz w:val="24"/>
              </w:rPr>
              <w:t>其中：当年财政拨款</w:t>
            </w:r>
          </w:p>
        </w:tc>
        <w:tc>
          <w:tcPr>
            <w:tcW w:w="847" w:type="dxa"/>
            <w:tcBorders>
              <w:top w:val="nil"/>
              <w:left w:val="nil"/>
              <w:bottom w:val="single" w:color="auto" w:sz="4" w:space="0"/>
              <w:right w:val="single" w:color="auto" w:sz="4" w:space="0"/>
              <w:tl2br w:val="nil"/>
              <w:tr2bl w:val="nil"/>
            </w:tcBorders>
            <w:vAlign w:val="center"/>
          </w:tcPr>
          <w:p w14:paraId="161582BC">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40</w:t>
            </w:r>
          </w:p>
        </w:tc>
        <w:tc>
          <w:tcPr>
            <w:tcW w:w="634" w:type="dxa"/>
            <w:tcBorders>
              <w:top w:val="nil"/>
              <w:left w:val="nil"/>
              <w:bottom w:val="single" w:color="auto" w:sz="4" w:space="0"/>
              <w:right w:val="single" w:color="auto" w:sz="4" w:space="0"/>
              <w:tl2br w:val="nil"/>
              <w:tr2bl w:val="nil"/>
            </w:tcBorders>
            <w:vAlign w:val="center"/>
          </w:tcPr>
          <w:p w14:paraId="3A0F0DAB">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40</w:t>
            </w:r>
          </w:p>
        </w:tc>
        <w:tc>
          <w:tcPr>
            <w:tcW w:w="1295" w:type="dxa"/>
            <w:tcBorders>
              <w:top w:val="nil"/>
              <w:left w:val="nil"/>
              <w:bottom w:val="single" w:color="auto" w:sz="4" w:space="0"/>
              <w:right w:val="single" w:color="auto" w:sz="4" w:space="0"/>
              <w:tl2br w:val="nil"/>
              <w:tr2bl w:val="nil"/>
            </w:tcBorders>
            <w:vAlign w:val="center"/>
          </w:tcPr>
          <w:p w14:paraId="2AC00953">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38.98</w:t>
            </w:r>
          </w:p>
        </w:tc>
        <w:tc>
          <w:tcPr>
            <w:tcW w:w="1010" w:type="dxa"/>
            <w:gridSpan w:val="2"/>
            <w:tcBorders>
              <w:top w:val="nil"/>
              <w:left w:val="nil"/>
              <w:bottom w:val="single" w:color="auto" w:sz="4" w:space="0"/>
              <w:right w:val="single" w:color="auto" w:sz="4" w:space="0"/>
              <w:tl2br w:val="nil"/>
              <w:tr2bl w:val="nil"/>
            </w:tcBorders>
            <w:vAlign w:val="center"/>
          </w:tcPr>
          <w:p w14:paraId="73A7DF56">
            <w:pPr>
              <w:widowControl/>
              <w:spacing w:line="240" w:lineRule="exact"/>
              <w:jc w:val="center"/>
              <w:rPr>
                <w:rFonts w:hint="eastAsia" w:ascii="仿宋_GB2312" w:eastAsia="仿宋_GB2312"/>
                <w:kern w:val="0"/>
                <w:sz w:val="24"/>
              </w:rPr>
            </w:pPr>
            <w:r>
              <w:rPr>
                <w:rFonts w:hint="eastAsia" w:ascii="仿宋_GB2312" w:eastAsia="仿宋_GB2312"/>
                <w:kern w:val="0"/>
                <w:sz w:val="24"/>
              </w:rPr>
              <w:t>—</w:t>
            </w:r>
          </w:p>
        </w:tc>
        <w:tc>
          <w:tcPr>
            <w:tcW w:w="996" w:type="dxa"/>
            <w:gridSpan w:val="2"/>
            <w:tcBorders>
              <w:top w:val="single" w:color="auto" w:sz="4" w:space="0"/>
              <w:left w:val="nil"/>
              <w:bottom w:val="single" w:color="auto" w:sz="4" w:space="0"/>
              <w:right w:val="single" w:color="auto" w:sz="4" w:space="0"/>
              <w:tl2br w:val="nil"/>
              <w:tr2bl w:val="nil"/>
            </w:tcBorders>
            <w:vAlign w:val="center"/>
          </w:tcPr>
          <w:p w14:paraId="02D44EB0">
            <w:pPr>
              <w:widowControl/>
              <w:spacing w:line="240" w:lineRule="exact"/>
              <w:jc w:val="center"/>
              <w:rPr>
                <w:rFonts w:hint="eastAsia" w:ascii="仿宋_GB2312" w:eastAsia="仿宋_GB2312"/>
                <w:kern w:val="0"/>
                <w:sz w:val="24"/>
              </w:rPr>
            </w:pPr>
            <w:r>
              <w:rPr>
                <w:rFonts w:hint="eastAsia" w:ascii="仿宋_GB2312" w:eastAsia="仿宋_GB2312"/>
                <w:kern w:val="0"/>
                <w:sz w:val="24"/>
                <w:lang w:val="en-US" w:eastAsia="zh-CN"/>
              </w:rPr>
              <w:t>97.45%</w:t>
            </w:r>
          </w:p>
        </w:tc>
        <w:tc>
          <w:tcPr>
            <w:tcW w:w="600" w:type="dxa"/>
            <w:tcBorders>
              <w:top w:val="nil"/>
              <w:left w:val="nil"/>
              <w:bottom w:val="single" w:color="auto" w:sz="4" w:space="0"/>
              <w:right w:val="single" w:color="auto" w:sz="4" w:space="0"/>
              <w:tl2br w:val="nil"/>
              <w:tr2bl w:val="nil"/>
            </w:tcBorders>
            <w:vAlign w:val="center"/>
          </w:tcPr>
          <w:p w14:paraId="249EBAF6">
            <w:pPr>
              <w:widowControl/>
              <w:spacing w:line="240" w:lineRule="exact"/>
              <w:jc w:val="center"/>
              <w:rPr>
                <w:rFonts w:hint="eastAsia" w:ascii="仿宋_GB2312" w:eastAsia="仿宋_GB2312"/>
                <w:kern w:val="0"/>
                <w:sz w:val="24"/>
              </w:rPr>
            </w:pPr>
            <w:r>
              <w:rPr>
                <w:rFonts w:hint="eastAsia" w:ascii="仿宋_GB2312" w:eastAsia="仿宋_GB2312"/>
                <w:kern w:val="0"/>
                <w:sz w:val="24"/>
              </w:rPr>
              <w:t>—</w:t>
            </w:r>
          </w:p>
        </w:tc>
      </w:tr>
      <w:tr w14:paraId="79ECE559">
        <w:tblPrEx>
          <w:tblCellMar>
            <w:top w:w="0" w:type="dxa"/>
            <w:left w:w="0" w:type="dxa"/>
            <w:bottom w:w="0" w:type="dxa"/>
            <w:right w:w="0" w:type="dxa"/>
          </w:tblCellMar>
        </w:tblPrEx>
        <w:trPr>
          <w:gridAfter w:val="1"/>
          <w:wAfter w:w="46" w:type="dxa"/>
          <w:jc w:val="center"/>
        </w:trPr>
        <w:tc>
          <w:tcPr>
            <w:tcW w:w="1638"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500503CD">
            <w:pPr>
              <w:rPr>
                <w:rFonts w:hint="eastAsia" w:ascii="仿宋_GB2312" w:eastAsia="仿宋_GB2312"/>
              </w:rPr>
            </w:pPr>
          </w:p>
        </w:tc>
        <w:tc>
          <w:tcPr>
            <w:tcW w:w="2195" w:type="dxa"/>
            <w:gridSpan w:val="2"/>
            <w:tcBorders>
              <w:top w:val="single" w:color="auto" w:sz="4" w:space="0"/>
              <w:left w:val="nil"/>
              <w:bottom w:val="single" w:color="auto" w:sz="4" w:space="0"/>
              <w:right w:val="single" w:color="auto" w:sz="4" w:space="0"/>
              <w:tl2br w:val="nil"/>
              <w:tr2bl w:val="nil"/>
            </w:tcBorders>
            <w:vAlign w:val="center"/>
          </w:tcPr>
          <w:p w14:paraId="4324B773">
            <w:pPr>
              <w:widowControl/>
              <w:spacing w:line="240" w:lineRule="exact"/>
              <w:jc w:val="left"/>
              <w:rPr>
                <w:rFonts w:hint="eastAsia" w:ascii="仿宋_GB2312" w:eastAsia="仿宋_GB2312"/>
                <w:kern w:val="0"/>
                <w:sz w:val="24"/>
              </w:rPr>
            </w:pPr>
            <w:r>
              <w:rPr>
                <w:rFonts w:hint="eastAsia" w:ascii="仿宋_GB2312" w:eastAsia="仿宋_GB2312"/>
                <w:kern w:val="0"/>
                <w:sz w:val="24"/>
              </w:rPr>
              <w:t xml:space="preserve">      上年结转资金</w:t>
            </w:r>
          </w:p>
        </w:tc>
        <w:tc>
          <w:tcPr>
            <w:tcW w:w="847" w:type="dxa"/>
            <w:tcBorders>
              <w:top w:val="nil"/>
              <w:left w:val="nil"/>
              <w:bottom w:val="single" w:color="auto" w:sz="4" w:space="0"/>
              <w:right w:val="single" w:color="auto" w:sz="4" w:space="0"/>
              <w:tl2br w:val="nil"/>
              <w:tr2bl w:val="nil"/>
            </w:tcBorders>
            <w:vAlign w:val="center"/>
          </w:tcPr>
          <w:p w14:paraId="5A094E14">
            <w:pPr>
              <w:widowControl/>
              <w:spacing w:line="240" w:lineRule="exact"/>
              <w:jc w:val="center"/>
              <w:rPr>
                <w:rFonts w:hint="eastAsia" w:ascii="仿宋_GB2312" w:eastAsia="仿宋_GB2312"/>
                <w:kern w:val="0"/>
                <w:sz w:val="24"/>
              </w:rPr>
            </w:pPr>
          </w:p>
        </w:tc>
        <w:tc>
          <w:tcPr>
            <w:tcW w:w="634" w:type="dxa"/>
            <w:tcBorders>
              <w:top w:val="nil"/>
              <w:left w:val="nil"/>
              <w:bottom w:val="single" w:color="auto" w:sz="4" w:space="0"/>
              <w:right w:val="single" w:color="auto" w:sz="4" w:space="0"/>
              <w:tl2br w:val="nil"/>
              <w:tr2bl w:val="nil"/>
            </w:tcBorders>
            <w:vAlign w:val="center"/>
          </w:tcPr>
          <w:p w14:paraId="6BC2F863">
            <w:pPr>
              <w:widowControl/>
              <w:spacing w:line="240" w:lineRule="exact"/>
              <w:jc w:val="center"/>
              <w:rPr>
                <w:rFonts w:hint="eastAsia" w:ascii="仿宋_GB2312" w:eastAsia="仿宋_GB2312"/>
                <w:kern w:val="0"/>
                <w:sz w:val="24"/>
              </w:rPr>
            </w:pPr>
          </w:p>
        </w:tc>
        <w:tc>
          <w:tcPr>
            <w:tcW w:w="1295" w:type="dxa"/>
            <w:tcBorders>
              <w:top w:val="nil"/>
              <w:left w:val="nil"/>
              <w:bottom w:val="single" w:color="auto" w:sz="4" w:space="0"/>
              <w:right w:val="single" w:color="auto" w:sz="4" w:space="0"/>
              <w:tl2br w:val="nil"/>
              <w:tr2bl w:val="nil"/>
            </w:tcBorders>
            <w:vAlign w:val="center"/>
          </w:tcPr>
          <w:p w14:paraId="7652789E">
            <w:pPr>
              <w:widowControl/>
              <w:spacing w:line="240" w:lineRule="exact"/>
              <w:jc w:val="center"/>
              <w:rPr>
                <w:rFonts w:hint="eastAsia" w:ascii="仿宋_GB2312" w:eastAsia="仿宋_GB2312"/>
                <w:kern w:val="0"/>
                <w:sz w:val="24"/>
              </w:rPr>
            </w:pPr>
          </w:p>
        </w:tc>
        <w:tc>
          <w:tcPr>
            <w:tcW w:w="1010" w:type="dxa"/>
            <w:gridSpan w:val="2"/>
            <w:tcBorders>
              <w:top w:val="nil"/>
              <w:left w:val="nil"/>
              <w:bottom w:val="single" w:color="auto" w:sz="4" w:space="0"/>
              <w:right w:val="single" w:color="auto" w:sz="4" w:space="0"/>
              <w:tl2br w:val="nil"/>
              <w:tr2bl w:val="nil"/>
            </w:tcBorders>
            <w:vAlign w:val="center"/>
          </w:tcPr>
          <w:p w14:paraId="3479667F">
            <w:pPr>
              <w:widowControl/>
              <w:spacing w:line="240" w:lineRule="exact"/>
              <w:jc w:val="center"/>
              <w:rPr>
                <w:rFonts w:hint="eastAsia" w:ascii="仿宋_GB2312" w:eastAsia="仿宋_GB2312"/>
                <w:kern w:val="0"/>
                <w:sz w:val="24"/>
              </w:rPr>
            </w:pPr>
            <w:r>
              <w:rPr>
                <w:rFonts w:hint="eastAsia" w:ascii="仿宋_GB2312" w:eastAsia="仿宋_GB2312"/>
                <w:kern w:val="0"/>
                <w:sz w:val="24"/>
              </w:rPr>
              <w:t>—</w:t>
            </w:r>
          </w:p>
        </w:tc>
        <w:tc>
          <w:tcPr>
            <w:tcW w:w="996" w:type="dxa"/>
            <w:gridSpan w:val="2"/>
            <w:tcBorders>
              <w:top w:val="single" w:color="auto" w:sz="4" w:space="0"/>
              <w:left w:val="nil"/>
              <w:bottom w:val="single" w:color="auto" w:sz="4" w:space="0"/>
              <w:right w:val="single" w:color="auto" w:sz="4" w:space="0"/>
              <w:tl2br w:val="nil"/>
              <w:tr2bl w:val="nil"/>
            </w:tcBorders>
            <w:vAlign w:val="center"/>
          </w:tcPr>
          <w:p w14:paraId="67F5AED7">
            <w:pPr>
              <w:widowControl/>
              <w:spacing w:line="240" w:lineRule="exact"/>
              <w:jc w:val="center"/>
              <w:rPr>
                <w:rFonts w:hint="eastAsia" w:ascii="仿宋_GB2312" w:eastAsia="仿宋_GB2312"/>
                <w:kern w:val="0"/>
                <w:sz w:val="24"/>
              </w:rPr>
            </w:pPr>
          </w:p>
        </w:tc>
        <w:tc>
          <w:tcPr>
            <w:tcW w:w="600" w:type="dxa"/>
            <w:tcBorders>
              <w:top w:val="nil"/>
              <w:left w:val="nil"/>
              <w:bottom w:val="single" w:color="auto" w:sz="4" w:space="0"/>
              <w:right w:val="single" w:color="auto" w:sz="4" w:space="0"/>
              <w:tl2br w:val="nil"/>
              <w:tr2bl w:val="nil"/>
            </w:tcBorders>
            <w:vAlign w:val="center"/>
          </w:tcPr>
          <w:p w14:paraId="41AF5D74">
            <w:pPr>
              <w:widowControl/>
              <w:spacing w:line="240" w:lineRule="exact"/>
              <w:jc w:val="center"/>
              <w:rPr>
                <w:rFonts w:hint="eastAsia" w:ascii="仿宋_GB2312" w:eastAsia="仿宋_GB2312"/>
                <w:kern w:val="0"/>
                <w:sz w:val="24"/>
              </w:rPr>
            </w:pPr>
            <w:r>
              <w:rPr>
                <w:rFonts w:hint="eastAsia" w:ascii="仿宋_GB2312" w:eastAsia="仿宋_GB2312"/>
                <w:kern w:val="0"/>
                <w:sz w:val="24"/>
              </w:rPr>
              <w:t>—</w:t>
            </w:r>
          </w:p>
        </w:tc>
      </w:tr>
      <w:tr w14:paraId="16ABDC39">
        <w:tblPrEx>
          <w:tblCellMar>
            <w:top w:w="0" w:type="dxa"/>
            <w:left w:w="0" w:type="dxa"/>
            <w:bottom w:w="0" w:type="dxa"/>
            <w:right w:w="0" w:type="dxa"/>
          </w:tblCellMar>
        </w:tblPrEx>
        <w:trPr>
          <w:gridAfter w:val="1"/>
          <w:wAfter w:w="46" w:type="dxa"/>
          <w:trHeight w:val="223" w:hRule="atLeast"/>
          <w:jc w:val="center"/>
        </w:trPr>
        <w:tc>
          <w:tcPr>
            <w:tcW w:w="1638"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4F1B388B">
            <w:pPr>
              <w:rPr>
                <w:rFonts w:hint="eastAsia" w:ascii="仿宋_GB2312" w:eastAsia="仿宋_GB2312"/>
              </w:rPr>
            </w:pPr>
          </w:p>
        </w:tc>
        <w:tc>
          <w:tcPr>
            <w:tcW w:w="2195" w:type="dxa"/>
            <w:gridSpan w:val="2"/>
            <w:tcBorders>
              <w:top w:val="single" w:color="auto" w:sz="4" w:space="0"/>
              <w:left w:val="nil"/>
              <w:bottom w:val="single" w:color="auto" w:sz="4" w:space="0"/>
              <w:right w:val="single" w:color="auto" w:sz="4" w:space="0"/>
              <w:tl2br w:val="nil"/>
              <w:tr2bl w:val="nil"/>
            </w:tcBorders>
            <w:vAlign w:val="center"/>
          </w:tcPr>
          <w:p w14:paraId="1BE7F911">
            <w:pPr>
              <w:widowControl/>
              <w:spacing w:line="240" w:lineRule="exact"/>
              <w:jc w:val="center"/>
              <w:rPr>
                <w:rFonts w:hint="eastAsia" w:ascii="仿宋_GB2312" w:eastAsia="仿宋_GB2312"/>
                <w:kern w:val="0"/>
                <w:sz w:val="24"/>
              </w:rPr>
            </w:pPr>
            <w:r>
              <w:rPr>
                <w:rFonts w:hint="eastAsia" w:ascii="仿宋_GB2312" w:eastAsia="仿宋_GB2312"/>
                <w:kern w:val="0"/>
                <w:sz w:val="24"/>
              </w:rPr>
              <w:t xml:space="preserve">  其他资金</w:t>
            </w:r>
          </w:p>
        </w:tc>
        <w:tc>
          <w:tcPr>
            <w:tcW w:w="847" w:type="dxa"/>
            <w:tcBorders>
              <w:top w:val="nil"/>
              <w:left w:val="nil"/>
              <w:bottom w:val="single" w:color="auto" w:sz="4" w:space="0"/>
              <w:right w:val="single" w:color="auto" w:sz="4" w:space="0"/>
              <w:tl2br w:val="nil"/>
              <w:tr2bl w:val="nil"/>
            </w:tcBorders>
            <w:vAlign w:val="center"/>
          </w:tcPr>
          <w:p w14:paraId="647F01CD">
            <w:pPr>
              <w:widowControl/>
              <w:spacing w:line="240" w:lineRule="exact"/>
              <w:jc w:val="center"/>
              <w:rPr>
                <w:rFonts w:hint="eastAsia" w:ascii="仿宋_GB2312" w:eastAsia="仿宋_GB2312"/>
                <w:kern w:val="0"/>
                <w:sz w:val="24"/>
              </w:rPr>
            </w:pPr>
          </w:p>
        </w:tc>
        <w:tc>
          <w:tcPr>
            <w:tcW w:w="634" w:type="dxa"/>
            <w:tcBorders>
              <w:top w:val="nil"/>
              <w:left w:val="nil"/>
              <w:bottom w:val="single" w:color="auto" w:sz="4" w:space="0"/>
              <w:right w:val="single" w:color="auto" w:sz="4" w:space="0"/>
              <w:tl2br w:val="nil"/>
              <w:tr2bl w:val="nil"/>
            </w:tcBorders>
            <w:vAlign w:val="center"/>
          </w:tcPr>
          <w:p w14:paraId="48A3F273">
            <w:pPr>
              <w:widowControl/>
              <w:spacing w:line="240" w:lineRule="exact"/>
              <w:jc w:val="center"/>
              <w:rPr>
                <w:rFonts w:hint="eastAsia" w:ascii="仿宋_GB2312" w:eastAsia="仿宋_GB2312"/>
                <w:kern w:val="0"/>
                <w:sz w:val="24"/>
              </w:rPr>
            </w:pPr>
          </w:p>
        </w:tc>
        <w:tc>
          <w:tcPr>
            <w:tcW w:w="1295" w:type="dxa"/>
            <w:tcBorders>
              <w:top w:val="nil"/>
              <w:left w:val="nil"/>
              <w:bottom w:val="single" w:color="auto" w:sz="4" w:space="0"/>
              <w:right w:val="single" w:color="auto" w:sz="4" w:space="0"/>
              <w:tl2br w:val="nil"/>
              <w:tr2bl w:val="nil"/>
            </w:tcBorders>
            <w:vAlign w:val="center"/>
          </w:tcPr>
          <w:p w14:paraId="457771C4">
            <w:pPr>
              <w:widowControl/>
              <w:spacing w:line="240" w:lineRule="exact"/>
              <w:jc w:val="center"/>
              <w:rPr>
                <w:rFonts w:hint="eastAsia" w:ascii="仿宋_GB2312" w:eastAsia="仿宋_GB2312"/>
                <w:kern w:val="0"/>
                <w:sz w:val="24"/>
              </w:rPr>
            </w:pPr>
          </w:p>
        </w:tc>
        <w:tc>
          <w:tcPr>
            <w:tcW w:w="1010" w:type="dxa"/>
            <w:gridSpan w:val="2"/>
            <w:tcBorders>
              <w:top w:val="nil"/>
              <w:left w:val="nil"/>
              <w:bottom w:val="single" w:color="auto" w:sz="4" w:space="0"/>
              <w:right w:val="single" w:color="auto" w:sz="4" w:space="0"/>
              <w:tl2br w:val="nil"/>
              <w:tr2bl w:val="nil"/>
            </w:tcBorders>
            <w:vAlign w:val="center"/>
          </w:tcPr>
          <w:p w14:paraId="1E5842E9">
            <w:pPr>
              <w:widowControl/>
              <w:spacing w:line="240" w:lineRule="exact"/>
              <w:jc w:val="center"/>
              <w:rPr>
                <w:rFonts w:hint="eastAsia" w:ascii="仿宋_GB2312" w:eastAsia="仿宋_GB2312"/>
                <w:kern w:val="0"/>
                <w:sz w:val="24"/>
              </w:rPr>
            </w:pPr>
            <w:r>
              <w:rPr>
                <w:rFonts w:hint="eastAsia" w:ascii="仿宋_GB2312" w:eastAsia="仿宋_GB2312"/>
                <w:kern w:val="0"/>
                <w:sz w:val="24"/>
              </w:rPr>
              <w:t>—</w:t>
            </w:r>
          </w:p>
        </w:tc>
        <w:tc>
          <w:tcPr>
            <w:tcW w:w="996" w:type="dxa"/>
            <w:gridSpan w:val="2"/>
            <w:tcBorders>
              <w:top w:val="single" w:color="auto" w:sz="4" w:space="0"/>
              <w:left w:val="nil"/>
              <w:bottom w:val="single" w:color="auto" w:sz="4" w:space="0"/>
              <w:right w:val="single" w:color="auto" w:sz="4" w:space="0"/>
              <w:tl2br w:val="nil"/>
              <w:tr2bl w:val="nil"/>
            </w:tcBorders>
            <w:vAlign w:val="center"/>
          </w:tcPr>
          <w:p w14:paraId="64307825">
            <w:pPr>
              <w:widowControl/>
              <w:spacing w:line="240" w:lineRule="exact"/>
              <w:jc w:val="center"/>
              <w:rPr>
                <w:rFonts w:hint="eastAsia" w:ascii="仿宋_GB2312" w:eastAsia="仿宋_GB2312"/>
                <w:kern w:val="0"/>
                <w:sz w:val="24"/>
              </w:rPr>
            </w:pPr>
          </w:p>
        </w:tc>
        <w:tc>
          <w:tcPr>
            <w:tcW w:w="600" w:type="dxa"/>
            <w:tcBorders>
              <w:top w:val="nil"/>
              <w:left w:val="nil"/>
              <w:bottom w:val="single" w:color="auto" w:sz="4" w:space="0"/>
              <w:right w:val="single" w:color="auto" w:sz="4" w:space="0"/>
              <w:tl2br w:val="nil"/>
              <w:tr2bl w:val="nil"/>
            </w:tcBorders>
            <w:vAlign w:val="center"/>
          </w:tcPr>
          <w:p w14:paraId="797FE12A">
            <w:pPr>
              <w:widowControl/>
              <w:spacing w:line="240" w:lineRule="exact"/>
              <w:jc w:val="center"/>
              <w:rPr>
                <w:rFonts w:hint="eastAsia" w:ascii="仿宋_GB2312" w:eastAsia="仿宋_GB2312"/>
                <w:kern w:val="0"/>
                <w:sz w:val="24"/>
              </w:rPr>
            </w:pPr>
            <w:r>
              <w:rPr>
                <w:rFonts w:hint="eastAsia" w:ascii="仿宋_GB2312" w:eastAsia="仿宋_GB2312"/>
                <w:kern w:val="0"/>
                <w:sz w:val="24"/>
              </w:rPr>
              <w:t>—</w:t>
            </w:r>
          </w:p>
        </w:tc>
      </w:tr>
      <w:tr w14:paraId="439A421E">
        <w:tblPrEx>
          <w:tblCellMar>
            <w:top w:w="0" w:type="dxa"/>
            <w:left w:w="0" w:type="dxa"/>
            <w:bottom w:w="0" w:type="dxa"/>
            <w:right w:w="0" w:type="dxa"/>
          </w:tblCellMar>
        </w:tblPrEx>
        <w:trPr>
          <w:gridAfter w:val="1"/>
          <w:wAfter w:w="46" w:type="dxa"/>
          <w:trHeight w:val="295" w:hRule="atLeast"/>
          <w:jc w:val="center"/>
        </w:trPr>
        <w:tc>
          <w:tcPr>
            <w:tcW w:w="852" w:type="dxa"/>
            <w:vMerge w:val="restart"/>
            <w:tcBorders>
              <w:top w:val="nil"/>
              <w:left w:val="single" w:color="auto" w:sz="4" w:space="0"/>
              <w:bottom w:val="single" w:color="auto" w:sz="4" w:space="0"/>
              <w:right w:val="single" w:color="auto" w:sz="4" w:space="0"/>
              <w:tl2br w:val="nil"/>
              <w:tr2bl w:val="nil"/>
            </w:tcBorders>
            <w:vAlign w:val="center"/>
          </w:tcPr>
          <w:p w14:paraId="1DE01852">
            <w:pPr>
              <w:widowControl/>
              <w:spacing w:line="240" w:lineRule="exact"/>
              <w:jc w:val="center"/>
              <w:rPr>
                <w:rFonts w:hint="eastAsia" w:ascii="仿宋_GB2312" w:eastAsia="仿宋_GB2312"/>
                <w:kern w:val="0"/>
                <w:sz w:val="24"/>
              </w:rPr>
            </w:pPr>
            <w:r>
              <w:rPr>
                <w:rFonts w:hint="eastAsia" w:ascii="仿宋_GB2312" w:eastAsia="仿宋_GB2312"/>
                <w:kern w:val="0"/>
                <w:sz w:val="24"/>
              </w:rPr>
              <w:t>年度总体目标</w:t>
            </w:r>
          </w:p>
        </w:tc>
        <w:tc>
          <w:tcPr>
            <w:tcW w:w="4462" w:type="dxa"/>
            <w:gridSpan w:val="5"/>
            <w:tcBorders>
              <w:top w:val="single" w:color="auto" w:sz="4" w:space="0"/>
              <w:left w:val="nil"/>
              <w:bottom w:val="single" w:color="auto" w:sz="4" w:space="0"/>
              <w:right w:val="single" w:color="auto" w:sz="4" w:space="0"/>
              <w:tl2br w:val="nil"/>
              <w:tr2bl w:val="nil"/>
            </w:tcBorders>
            <w:vAlign w:val="center"/>
          </w:tcPr>
          <w:p w14:paraId="234A9BE6">
            <w:pPr>
              <w:widowControl/>
              <w:spacing w:line="240" w:lineRule="exact"/>
              <w:jc w:val="center"/>
              <w:rPr>
                <w:rFonts w:hint="eastAsia" w:ascii="仿宋_GB2312" w:eastAsia="仿宋_GB2312"/>
                <w:kern w:val="0"/>
                <w:sz w:val="24"/>
              </w:rPr>
            </w:pPr>
            <w:r>
              <w:rPr>
                <w:rFonts w:hint="eastAsia" w:ascii="仿宋_GB2312" w:eastAsia="仿宋_GB2312"/>
                <w:kern w:val="0"/>
                <w:sz w:val="24"/>
              </w:rPr>
              <w:t>预期目标</w:t>
            </w:r>
          </w:p>
        </w:tc>
        <w:tc>
          <w:tcPr>
            <w:tcW w:w="3901" w:type="dxa"/>
            <w:gridSpan w:val="6"/>
            <w:tcBorders>
              <w:top w:val="single" w:color="auto" w:sz="4" w:space="0"/>
              <w:left w:val="nil"/>
              <w:bottom w:val="single" w:color="auto" w:sz="4" w:space="0"/>
              <w:right w:val="single" w:color="auto" w:sz="4" w:space="0"/>
              <w:tl2br w:val="nil"/>
              <w:tr2bl w:val="nil"/>
            </w:tcBorders>
            <w:vAlign w:val="center"/>
          </w:tcPr>
          <w:p w14:paraId="5EF94145">
            <w:pPr>
              <w:widowControl/>
              <w:spacing w:line="240" w:lineRule="exact"/>
              <w:jc w:val="center"/>
              <w:rPr>
                <w:rFonts w:hint="eastAsia" w:ascii="仿宋_GB2312" w:eastAsia="仿宋_GB2312"/>
                <w:kern w:val="0"/>
                <w:sz w:val="24"/>
              </w:rPr>
            </w:pPr>
            <w:r>
              <w:rPr>
                <w:rFonts w:hint="eastAsia" w:ascii="仿宋_GB2312" w:eastAsia="仿宋_GB2312"/>
                <w:kern w:val="0"/>
                <w:sz w:val="24"/>
              </w:rPr>
              <w:t>实际完成情况</w:t>
            </w:r>
          </w:p>
        </w:tc>
      </w:tr>
      <w:tr w14:paraId="75814322">
        <w:tblPrEx>
          <w:tblCellMar>
            <w:top w:w="0" w:type="dxa"/>
            <w:left w:w="0" w:type="dxa"/>
            <w:bottom w:w="0" w:type="dxa"/>
            <w:right w:w="0" w:type="dxa"/>
          </w:tblCellMar>
        </w:tblPrEx>
        <w:trPr>
          <w:gridAfter w:val="1"/>
          <w:wAfter w:w="46" w:type="dxa"/>
          <w:trHeight w:val="341" w:hRule="atLeast"/>
          <w:jc w:val="center"/>
        </w:trPr>
        <w:tc>
          <w:tcPr>
            <w:tcW w:w="852" w:type="dxa"/>
            <w:vMerge w:val="continue"/>
            <w:tcBorders>
              <w:top w:val="nil"/>
              <w:left w:val="single" w:color="auto" w:sz="4" w:space="0"/>
              <w:bottom w:val="single" w:color="auto" w:sz="4" w:space="0"/>
              <w:right w:val="single" w:color="auto" w:sz="4" w:space="0"/>
              <w:tl2br w:val="nil"/>
              <w:tr2bl w:val="nil"/>
            </w:tcBorders>
            <w:vAlign w:val="center"/>
          </w:tcPr>
          <w:p w14:paraId="2D443B23">
            <w:pPr>
              <w:rPr>
                <w:rFonts w:hint="eastAsia" w:ascii="仿宋_GB2312" w:eastAsia="仿宋_GB2312"/>
              </w:rPr>
            </w:pPr>
          </w:p>
        </w:tc>
        <w:tc>
          <w:tcPr>
            <w:tcW w:w="4462" w:type="dxa"/>
            <w:gridSpan w:val="5"/>
            <w:tcBorders>
              <w:top w:val="single" w:color="auto" w:sz="4" w:space="0"/>
              <w:left w:val="nil"/>
              <w:bottom w:val="single" w:color="auto" w:sz="4" w:space="0"/>
              <w:right w:val="single" w:color="auto" w:sz="4" w:space="0"/>
              <w:tl2br w:val="nil"/>
              <w:tr2bl w:val="nil"/>
            </w:tcBorders>
            <w:vAlign w:val="center"/>
          </w:tcPr>
          <w:p w14:paraId="5834A405">
            <w:pPr>
              <w:widowControl/>
              <w:spacing w:line="240" w:lineRule="exact"/>
              <w:jc w:val="center"/>
              <w:rPr>
                <w:rFonts w:hint="eastAsia" w:ascii="仿宋_GB2312" w:eastAsia="仿宋_GB2312"/>
                <w:kern w:val="0"/>
                <w:sz w:val="24"/>
              </w:rPr>
            </w:pPr>
            <w:r>
              <w:rPr>
                <w:rFonts w:hint="eastAsia" w:ascii="仿宋_GB2312" w:eastAsia="仿宋_GB2312"/>
                <w:kern w:val="0"/>
                <w:sz w:val="24"/>
              </w:rPr>
              <w:t>市政公用事业涉及千家万户息息相关的利益，水质检测能从源头上保障居民饮用水达标安全，进一步加强我市城市供水水质管理，保障城市供水水质安全；扎实推进生活垃圾分类工作，为满足人民群众对美好生活的需要、构建基层社会治理新格局、推动生态文明建设、提高社会文明水平发挥积极作用；从2020年底开始，力争再用5年左右的时间，基本建立配套完善的生活垃圾分类法律法规体系，地级及以上城市因地制宜基本建立生活垃圾分类投放、分类收集、分类运输、分类处理体系，居民普遍形成生活垃圾分类习惯；推动有条件的地方加快生活垃圾管理立法工作，健全的生活垃圾分类法规体系，因地制宜细化生活垃圾分类投放、收集、运输、处理的管理要求和技术标准，到2025年底形成具有地方特点的、科学长效的生活垃圾管理模式；为认真贯彻落实习近平总书记关于安全生产重要论述和重要指示批示精神，深刻汲取近年来城镇燃气安全重特大事故教训，按照国家和自治区安排部署，全面加强城镇燃气安全风险隐患排查治理。全面压实企业主体责任、部门监管责任和地方党政领导责任，强化企业人员岗位安全责任和技能，聘请专家培训、评估、换证，坚决防范重特大事故发生。</w:t>
            </w:r>
          </w:p>
        </w:tc>
        <w:tc>
          <w:tcPr>
            <w:tcW w:w="3901" w:type="dxa"/>
            <w:gridSpan w:val="6"/>
            <w:tcBorders>
              <w:top w:val="single" w:color="auto" w:sz="4" w:space="0"/>
              <w:left w:val="nil"/>
              <w:bottom w:val="single" w:color="auto" w:sz="4" w:space="0"/>
              <w:right w:val="single" w:color="auto" w:sz="4" w:space="0"/>
              <w:tl2br w:val="nil"/>
              <w:tr2bl w:val="nil"/>
            </w:tcBorders>
            <w:vAlign w:val="center"/>
          </w:tcPr>
          <w:p w14:paraId="09E1FE8C">
            <w:pPr>
              <w:widowControl/>
              <w:spacing w:line="240" w:lineRule="exact"/>
              <w:jc w:val="center"/>
              <w:rPr>
                <w:rFonts w:hint="eastAsia" w:ascii="仿宋_GB2312" w:eastAsia="仿宋_GB2312"/>
                <w:kern w:val="0"/>
                <w:sz w:val="24"/>
              </w:rPr>
            </w:pPr>
            <w:r>
              <w:rPr>
                <w:rFonts w:hint="eastAsia" w:ascii="仿宋_GB2312" w:eastAsia="仿宋_GB2312"/>
                <w:kern w:val="0"/>
                <w:sz w:val="24"/>
                <w:lang w:eastAsia="zh-CN"/>
              </w:rPr>
              <w:t>本年度市政公用事业保障业务经费预算总额为40万元，实际执行38.98万元，预算执行率97.45%。围绕城镇燃气安全、城市生活垃圾分类、水质检测三大核心任务，圆满完成2次大培训、及时进社区、进小区宣传、开展“双随机、一公开”排查检查。整体来看，经费使用合规高效，业务推进有序有力，较好的实现了预期绩效目标，为市政业务运转提供了坚实支撑。</w:t>
            </w:r>
          </w:p>
        </w:tc>
      </w:tr>
      <w:tr w14:paraId="62C12E99">
        <w:tblPrEx>
          <w:tblCellMar>
            <w:top w:w="0" w:type="dxa"/>
            <w:left w:w="0" w:type="dxa"/>
            <w:bottom w:w="0" w:type="dxa"/>
            <w:right w:w="0" w:type="dxa"/>
          </w:tblCellMar>
        </w:tblPrEx>
        <w:trPr>
          <w:gridAfter w:val="1"/>
          <w:wAfter w:w="46" w:type="dxa"/>
          <w:trHeight w:val="469" w:hRule="atLeast"/>
          <w:jc w:val="center"/>
        </w:trPr>
        <w:tc>
          <w:tcPr>
            <w:tcW w:w="852" w:type="dxa"/>
            <w:vMerge w:val="restart"/>
            <w:tcBorders>
              <w:top w:val="nil"/>
              <w:left w:val="single" w:color="auto" w:sz="4" w:space="0"/>
              <w:bottom w:val="nil"/>
              <w:right w:val="single" w:color="auto" w:sz="4" w:space="0"/>
              <w:tl2br w:val="nil"/>
              <w:tr2bl w:val="nil"/>
            </w:tcBorders>
            <w:vAlign w:val="center"/>
          </w:tcPr>
          <w:p w14:paraId="6900EB3C">
            <w:pPr>
              <w:widowControl/>
              <w:spacing w:line="240" w:lineRule="exact"/>
              <w:jc w:val="center"/>
              <w:rPr>
                <w:rFonts w:hint="eastAsia" w:ascii="仿宋_GB2312" w:eastAsia="仿宋_GB2312"/>
                <w:kern w:val="0"/>
                <w:sz w:val="24"/>
                <w:lang w:eastAsia="zh-CN"/>
              </w:rPr>
            </w:pPr>
            <w:r>
              <w:rPr>
                <w:rFonts w:hint="eastAsia" w:ascii="仿宋_GB2312" w:eastAsia="仿宋_GB2312"/>
                <w:kern w:val="0"/>
                <w:sz w:val="24"/>
              </w:rPr>
              <w:t>绩</w:t>
            </w:r>
          </w:p>
          <w:p w14:paraId="0E01D707">
            <w:pPr>
              <w:widowControl/>
              <w:spacing w:line="240" w:lineRule="exact"/>
              <w:jc w:val="center"/>
              <w:rPr>
                <w:rFonts w:hint="eastAsia" w:ascii="仿宋_GB2312" w:eastAsia="仿宋_GB2312"/>
                <w:kern w:val="0"/>
                <w:sz w:val="24"/>
                <w:lang w:eastAsia="zh-CN"/>
              </w:rPr>
            </w:pPr>
            <w:r>
              <w:rPr>
                <w:rFonts w:hint="eastAsia" w:ascii="仿宋_GB2312" w:eastAsia="仿宋_GB2312"/>
                <w:kern w:val="0"/>
                <w:sz w:val="24"/>
              </w:rPr>
              <w:t>效</w:t>
            </w:r>
          </w:p>
          <w:p w14:paraId="1AF5DF6E">
            <w:pPr>
              <w:widowControl/>
              <w:spacing w:line="240" w:lineRule="exact"/>
              <w:jc w:val="center"/>
              <w:rPr>
                <w:rFonts w:hint="eastAsia" w:ascii="仿宋_GB2312" w:eastAsia="仿宋_GB2312"/>
                <w:kern w:val="0"/>
                <w:sz w:val="24"/>
                <w:lang w:eastAsia="zh-CN"/>
              </w:rPr>
            </w:pPr>
            <w:r>
              <w:rPr>
                <w:rFonts w:hint="eastAsia" w:ascii="仿宋_GB2312" w:eastAsia="仿宋_GB2312"/>
                <w:kern w:val="0"/>
                <w:sz w:val="24"/>
              </w:rPr>
              <w:t>指</w:t>
            </w:r>
          </w:p>
          <w:p w14:paraId="7789B055">
            <w:pPr>
              <w:widowControl/>
              <w:spacing w:line="240" w:lineRule="exact"/>
              <w:jc w:val="center"/>
              <w:rPr>
                <w:rFonts w:hint="eastAsia" w:ascii="仿宋_GB2312" w:eastAsia="仿宋_GB2312"/>
                <w:kern w:val="0"/>
                <w:sz w:val="24"/>
              </w:rPr>
            </w:pPr>
            <w:r>
              <w:rPr>
                <w:rFonts w:hint="eastAsia" w:ascii="仿宋_GB2312" w:eastAsia="仿宋_GB2312"/>
                <w:kern w:val="0"/>
                <w:sz w:val="24"/>
              </w:rPr>
              <w:t>标</w:t>
            </w:r>
          </w:p>
        </w:tc>
        <w:tc>
          <w:tcPr>
            <w:tcW w:w="786" w:type="dxa"/>
            <w:tcBorders>
              <w:top w:val="nil"/>
              <w:left w:val="nil"/>
              <w:bottom w:val="single" w:color="auto" w:sz="4" w:space="0"/>
              <w:right w:val="single" w:color="auto" w:sz="4" w:space="0"/>
              <w:tl2br w:val="nil"/>
              <w:tr2bl w:val="nil"/>
            </w:tcBorders>
            <w:vAlign w:val="center"/>
          </w:tcPr>
          <w:p w14:paraId="6B7711AD">
            <w:pPr>
              <w:widowControl/>
              <w:spacing w:line="240" w:lineRule="exact"/>
              <w:jc w:val="center"/>
              <w:rPr>
                <w:rFonts w:hint="eastAsia" w:ascii="仿宋_GB2312" w:eastAsia="仿宋_GB2312"/>
                <w:kern w:val="0"/>
                <w:sz w:val="24"/>
              </w:rPr>
            </w:pPr>
            <w:r>
              <w:rPr>
                <w:rFonts w:hint="eastAsia" w:ascii="仿宋_GB2312" w:eastAsia="仿宋_GB2312"/>
                <w:kern w:val="0"/>
                <w:sz w:val="24"/>
              </w:rPr>
              <w:t>一级指标</w:t>
            </w:r>
          </w:p>
        </w:tc>
        <w:tc>
          <w:tcPr>
            <w:tcW w:w="1465" w:type="dxa"/>
            <w:tcBorders>
              <w:top w:val="nil"/>
              <w:left w:val="nil"/>
              <w:bottom w:val="single" w:color="auto" w:sz="4" w:space="0"/>
              <w:right w:val="single" w:color="auto" w:sz="4" w:space="0"/>
              <w:tl2br w:val="nil"/>
              <w:tr2bl w:val="nil"/>
            </w:tcBorders>
            <w:vAlign w:val="center"/>
          </w:tcPr>
          <w:p w14:paraId="1859395B">
            <w:pPr>
              <w:widowControl/>
              <w:spacing w:line="240" w:lineRule="exact"/>
              <w:jc w:val="center"/>
              <w:rPr>
                <w:rFonts w:hint="eastAsia" w:ascii="仿宋_GB2312" w:eastAsia="仿宋_GB2312"/>
                <w:kern w:val="0"/>
                <w:sz w:val="24"/>
              </w:rPr>
            </w:pPr>
            <w:r>
              <w:rPr>
                <w:rFonts w:hint="eastAsia" w:ascii="仿宋_GB2312" w:eastAsia="仿宋_GB2312"/>
                <w:kern w:val="0"/>
                <w:sz w:val="24"/>
              </w:rPr>
              <w:t>二级指标</w:t>
            </w:r>
          </w:p>
        </w:tc>
        <w:tc>
          <w:tcPr>
            <w:tcW w:w="1577" w:type="dxa"/>
            <w:gridSpan w:val="2"/>
            <w:tcBorders>
              <w:top w:val="single" w:color="auto" w:sz="4" w:space="0"/>
              <w:left w:val="nil"/>
              <w:bottom w:val="single" w:color="auto" w:sz="4" w:space="0"/>
              <w:right w:val="single" w:color="auto" w:sz="4" w:space="0"/>
              <w:tl2br w:val="nil"/>
              <w:tr2bl w:val="nil"/>
            </w:tcBorders>
            <w:vAlign w:val="center"/>
          </w:tcPr>
          <w:p w14:paraId="6B2620C0">
            <w:pPr>
              <w:widowControl/>
              <w:spacing w:line="240" w:lineRule="exact"/>
              <w:jc w:val="center"/>
              <w:rPr>
                <w:rFonts w:hint="eastAsia" w:ascii="仿宋_GB2312" w:eastAsia="仿宋_GB2312"/>
                <w:kern w:val="0"/>
                <w:sz w:val="24"/>
              </w:rPr>
            </w:pPr>
            <w:r>
              <w:rPr>
                <w:rFonts w:hint="eastAsia" w:ascii="仿宋_GB2312" w:eastAsia="仿宋_GB2312"/>
                <w:kern w:val="0"/>
                <w:sz w:val="24"/>
              </w:rPr>
              <w:t>三级指标</w:t>
            </w:r>
          </w:p>
        </w:tc>
        <w:tc>
          <w:tcPr>
            <w:tcW w:w="634" w:type="dxa"/>
            <w:tcBorders>
              <w:top w:val="nil"/>
              <w:left w:val="nil"/>
              <w:bottom w:val="single" w:color="auto" w:sz="4" w:space="0"/>
              <w:right w:val="single" w:color="auto" w:sz="4" w:space="0"/>
              <w:tl2br w:val="nil"/>
              <w:tr2bl w:val="nil"/>
            </w:tcBorders>
            <w:vAlign w:val="center"/>
          </w:tcPr>
          <w:p w14:paraId="7E5ACE86">
            <w:pPr>
              <w:widowControl/>
              <w:spacing w:line="240" w:lineRule="exact"/>
              <w:jc w:val="center"/>
              <w:rPr>
                <w:rFonts w:hint="eastAsia" w:ascii="仿宋_GB2312" w:eastAsia="仿宋_GB2312"/>
                <w:kern w:val="0"/>
                <w:sz w:val="24"/>
              </w:rPr>
            </w:pPr>
            <w:r>
              <w:rPr>
                <w:rFonts w:hint="eastAsia" w:ascii="仿宋_GB2312" w:eastAsia="仿宋_GB2312"/>
                <w:kern w:val="0"/>
                <w:sz w:val="24"/>
              </w:rPr>
              <w:t>年度</w:t>
            </w:r>
          </w:p>
          <w:p w14:paraId="2B3F1E11">
            <w:pPr>
              <w:widowControl/>
              <w:spacing w:line="240" w:lineRule="exact"/>
              <w:jc w:val="center"/>
              <w:rPr>
                <w:rFonts w:hint="eastAsia" w:ascii="仿宋_GB2312" w:eastAsia="仿宋_GB2312"/>
                <w:kern w:val="0"/>
                <w:sz w:val="24"/>
              </w:rPr>
            </w:pPr>
            <w:r>
              <w:rPr>
                <w:rFonts w:hint="eastAsia" w:ascii="仿宋_GB2312" w:eastAsia="仿宋_GB2312"/>
                <w:kern w:val="0"/>
                <w:sz w:val="24"/>
              </w:rPr>
              <w:t>指标值</w:t>
            </w:r>
          </w:p>
        </w:tc>
        <w:tc>
          <w:tcPr>
            <w:tcW w:w="1295" w:type="dxa"/>
            <w:tcBorders>
              <w:top w:val="nil"/>
              <w:left w:val="nil"/>
              <w:bottom w:val="single" w:color="auto" w:sz="4" w:space="0"/>
              <w:right w:val="single" w:color="auto" w:sz="4" w:space="0"/>
              <w:tl2br w:val="nil"/>
              <w:tr2bl w:val="nil"/>
            </w:tcBorders>
            <w:vAlign w:val="center"/>
          </w:tcPr>
          <w:p w14:paraId="76370139">
            <w:pPr>
              <w:widowControl/>
              <w:spacing w:line="240" w:lineRule="exact"/>
              <w:jc w:val="center"/>
              <w:rPr>
                <w:rFonts w:hint="eastAsia" w:ascii="仿宋_GB2312" w:eastAsia="仿宋_GB2312"/>
                <w:kern w:val="0"/>
                <w:sz w:val="24"/>
              </w:rPr>
            </w:pPr>
            <w:r>
              <w:rPr>
                <w:rFonts w:hint="eastAsia" w:ascii="仿宋_GB2312" w:eastAsia="仿宋_GB2312"/>
                <w:kern w:val="0"/>
                <w:sz w:val="24"/>
              </w:rPr>
              <w:t>实际</w:t>
            </w:r>
          </w:p>
          <w:p w14:paraId="21FACAD5">
            <w:pPr>
              <w:widowControl/>
              <w:spacing w:line="240" w:lineRule="exact"/>
              <w:jc w:val="center"/>
              <w:rPr>
                <w:rFonts w:hint="eastAsia" w:ascii="仿宋_GB2312" w:eastAsia="仿宋_GB2312"/>
                <w:kern w:val="0"/>
                <w:sz w:val="24"/>
              </w:rPr>
            </w:pPr>
            <w:r>
              <w:rPr>
                <w:rFonts w:hint="eastAsia" w:ascii="仿宋_GB2312" w:eastAsia="仿宋_GB2312"/>
                <w:kern w:val="0"/>
                <w:sz w:val="24"/>
              </w:rPr>
              <w:t>完成值</w:t>
            </w:r>
          </w:p>
        </w:tc>
        <w:tc>
          <w:tcPr>
            <w:tcW w:w="676" w:type="dxa"/>
            <w:tcBorders>
              <w:top w:val="nil"/>
              <w:left w:val="nil"/>
              <w:bottom w:val="single" w:color="auto" w:sz="4" w:space="0"/>
              <w:right w:val="single" w:color="auto" w:sz="4" w:space="0"/>
              <w:tl2br w:val="nil"/>
              <w:tr2bl w:val="nil"/>
            </w:tcBorders>
            <w:vAlign w:val="center"/>
          </w:tcPr>
          <w:p w14:paraId="08636548">
            <w:pPr>
              <w:widowControl/>
              <w:spacing w:line="240" w:lineRule="exact"/>
              <w:jc w:val="center"/>
              <w:rPr>
                <w:rFonts w:hint="eastAsia" w:ascii="仿宋_GB2312" w:eastAsia="仿宋_GB2312"/>
                <w:kern w:val="0"/>
                <w:sz w:val="24"/>
              </w:rPr>
            </w:pPr>
            <w:r>
              <w:rPr>
                <w:rFonts w:hint="eastAsia" w:ascii="仿宋_GB2312" w:eastAsia="仿宋_GB2312"/>
                <w:kern w:val="0"/>
                <w:sz w:val="24"/>
              </w:rPr>
              <w:t>分值</w:t>
            </w:r>
          </w:p>
        </w:tc>
        <w:tc>
          <w:tcPr>
            <w:tcW w:w="546" w:type="dxa"/>
            <w:gridSpan w:val="2"/>
            <w:tcBorders>
              <w:top w:val="nil"/>
              <w:left w:val="nil"/>
              <w:bottom w:val="single" w:color="auto" w:sz="4" w:space="0"/>
              <w:right w:val="single" w:color="auto" w:sz="4" w:space="0"/>
              <w:tl2br w:val="nil"/>
              <w:tr2bl w:val="nil"/>
            </w:tcBorders>
            <w:vAlign w:val="center"/>
          </w:tcPr>
          <w:p w14:paraId="4C0EE08C">
            <w:pPr>
              <w:widowControl/>
              <w:spacing w:line="240" w:lineRule="exact"/>
              <w:jc w:val="center"/>
              <w:rPr>
                <w:rFonts w:hint="eastAsia" w:ascii="仿宋_GB2312" w:eastAsia="仿宋_GB2312"/>
                <w:kern w:val="0"/>
                <w:sz w:val="24"/>
              </w:rPr>
            </w:pPr>
            <w:r>
              <w:rPr>
                <w:rFonts w:hint="eastAsia" w:ascii="仿宋_GB2312" w:eastAsia="仿宋_GB2312"/>
                <w:kern w:val="0"/>
                <w:sz w:val="24"/>
              </w:rPr>
              <w:t>得分</w:t>
            </w:r>
          </w:p>
        </w:tc>
        <w:tc>
          <w:tcPr>
            <w:tcW w:w="1384" w:type="dxa"/>
            <w:gridSpan w:val="2"/>
            <w:tcBorders>
              <w:top w:val="single" w:color="auto" w:sz="4" w:space="0"/>
              <w:left w:val="nil"/>
              <w:bottom w:val="single" w:color="auto" w:sz="4" w:space="0"/>
              <w:right w:val="single" w:color="auto" w:sz="4" w:space="0"/>
              <w:tl2br w:val="nil"/>
              <w:tr2bl w:val="nil"/>
            </w:tcBorders>
            <w:vAlign w:val="center"/>
          </w:tcPr>
          <w:p w14:paraId="486C3463">
            <w:pPr>
              <w:widowControl/>
              <w:spacing w:line="240" w:lineRule="exact"/>
              <w:jc w:val="center"/>
              <w:rPr>
                <w:rFonts w:hint="eastAsia" w:ascii="仿宋_GB2312" w:eastAsia="仿宋_GB2312"/>
                <w:kern w:val="0"/>
                <w:sz w:val="24"/>
              </w:rPr>
            </w:pPr>
            <w:r>
              <w:rPr>
                <w:rFonts w:hint="eastAsia" w:ascii="仿宋_GB2312" w:eastAsia="仿宋_GB2312"/>
                <w:kern w:val="0"/>
                <w:sz w:val="24"/>
              </w:rPr>
              <w:t>偏差原因分析及改进措施</w:t>
            </w:r>
          </w:p>
        </w:tc>
      </w:tr>
      <w:tr w14:paraId="720774BD">
        <w:tblPrEx>
          <w:tblCellMar>
            <w:top w:w="0" w:type="dxa"/>
            <w:left w:w="0" w:type="dxa"/>
            <w:bottom w:w="0" w:type="dxa"/>
            <w:right w:w="0" w:type="dxa"/>
          </w:tblCellMar>
        </w:tblPrEx>
        <w:trPr>
          <w:gridAfter w:val="1"/>
          <w:wAfter w:w="46" w:type="dxa"/>
          <w:trHeight w:val="692" w:hRule="atLeast"/>
          <w:jc w:val="center"/>
        </w:trPr>
        <w:tc>
          <w:tcPr>
            <w:tcW w:w="852" w:type="dxa"/>
            <w:vMerge w:val="continue"/>
            <w:tcBorders>
              <w:top w:val="nil"/>
              <w:left w:val="single" w:color="auto" w:sz="4" w:space="0"/>
              <w:bottom w:val="single" w:color="auto" w:sz="4" w:space="0"/>
              <w:right w:val="single" w:color="auto" w:sz="4" w:space="0"/>
              <w:tl2br w:val="nil"/>
              <w:tr2bl w:val="nil"/>
            </w:tcBorders>
            <w:vAlign w:val="center"/>
          </w:tcPr>
          <w:p w14:paraId="7BB54CD1">
            <w:pPr>
              <w:rPr>
                <w:rFonts w:hint="eastAsia" w:ascii="仿宋_GB2312" w:eastAsia="仿宋_GB2312"/>
              </w:rPr>
            </w:pPr>
          </w:p>
        </w:tc>
        <w:tc>
          <w:tcPr>
            <w:tcW w:w="786"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16216934">
            <w:pPr>
              <w:widowControl/>
              <w:spacing w:line="240" w:lineRule="exact"/>
              <w:jc w:val="center"/>
              <w:rPr>
                <w:rFonts w:hint="eastAsia" w:ascii="仿宋_GB2312" w:eastAsia="仿宋_GB2312"/>
                <w:kern w:val="0"/>
                <w:sz w:val="24"/>
              </w:rPr>
            </w:pPr>
            <w:r>
              <w:rPr>
                <w:rFonts w:hint="eastAsia" w:ascii="仿宋_GB2312" w:eastAsia="仿宋_GB2312"/>
                <w:kern w:val="0"/>
                <w:sz w:val="24"/>
              </w:rPr>
              <w:t>产出指标</w:t>
            </w:r>
          </w:p>
        </w:tc>
        <w:tc>
          <w:tcPr>
            <w:tcW w:w="1465"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58530683">
            <w:pPr>
              <w:widowControl/>
              <w:spacing w:line="240" w:lineRule="exact"/>
              <w:jc w:val="center"/>
              <w:rPr>
                <w:rFonts w:hint="eastAsia" w:ascii="仿宋_GB2312" w:eastAsia="仿宋_GB2312"/>
                <w:kern w:val="0"/>
                <w:sz w:val="24"/>
              </w:rPr>
            </w:pPr>
            <w:r>
              <w:rPr>
                <w:rFonts w:hint="eastAsia" w:ascii="仿宋_GB2312" w:eastAsia="仿宋_GB2312"/>
                <w:kern w:val="0"/>
                <w:sz w:val="24"/>
              </w:rPr>
              <w:t>数量指标</w:t>
            </w:r>
          </w:p>
        </w:tc>
        <w:tc>
          <w:tcPr>
            <w:tcW w:w="1577" w:type="dxa"/>
            <w:gridSpan w:val="2"/>
            <w:tcBorders>
              <w:top w:val="single" w:color="auto" w:sz="4" w:space="0"/>
              <w:left w:val="nil"/>
              <w:bottom w:val="single" w:color="auto" w:sz="4" w:space="0"/>
              <w:right w:val="single" w:color="auto" w:sz="4" w:space="0"/>
              <w:tl2br w:val="nil"/>
              <w:tr2bl w:val="nil"/>
            </w:tcBorders>
            <w:vAlign w:val="center"/>
          </w:tcPr>
          <w:p w14:paraId="5258BB74">
            <w:pPr>
              <w:keepNext w:val="0"/>
              <w:keepLines w:val="0"/>
              <w:widowControl/>
              <w:suppressLineNumbers w:val="0"/>
              <w:jc w:val="left"/>
              <w:textAlignment w:val="center"/>
              <w:rPr>
                <w:rFonts w:hint="eastAsia" w:ascii="仿宋_GB2312" w:eastAsia="仿宋_GB2312"/>
                <w:color w:val="000000"/>
                <w:kern w:val="0"/>
                <w:sz w:val="24"/>
              </w:rPr>
            </w:pPr>
            <w:r>
              <w:rPr>
                <w:rFonts w:hint="eastAsia" w:ascii="宋体" w:hAnsi="宋体" w:cs="宋体"/>
                <w:i w:val="0"/>
                <w:iCs w:val="0"/>
                <w:color w:val="000000"/>
                <w:kern w:val="0"/>
                <w:sz w:val="24"/>
                <w:szCs w:val="24"/>
                <w:u w:val="none"/>
                <w:lang w:val="en-US" w:eastAsia="zh-CN" w:bidi="ar"/>
              </w:rPr>
              <w:t>培训次数</w:t>
            </w:r>
          </w:p>
        </w:tc>
        <w:tc>
          <w:tcPr>
            <w:tcW w:w="634" w:type="dxa"/>
            <w:tcBorders>
              <w:top w:val="nil"/>
              <w:left w:val="nil"/>
              <w:bottom w:val="single" w:color="auto" w:sz="4" w:space="0"/>
              <w:right w:val="single" w:color="auto" w:sz="4" w:space="0"/>
              <w:tl2br w:val="nil"/>
              <w:tr2bl w:val="nil"/>
            </w:tcBorders>
            <w:vAlign w:val="center"/>
          </w:tcPr>
          <w:p w14:paraId="288F0D33">
            <w:pPr>
              <w:keepNext w:val="0"/>
              <w:keepLines w:val="0"/>
              <w:widowControl/>
              <w:suppressLineNumbers w:val="0"/>
              <w:jc w:val="center"/>
              <w:textAlignment w:val="center"/>
              <w:rPr>
                <w:rFonts w:hint="eastAsia" w:ascii="仿宋_GB2312" w:eastAsia="仿宋_GB2312"/>
                <w:kern w:val="0"/>
                <w:sz w:val="24"/>
              </w:rPr>
            </w:pPr>
            <w:r>
              <w:rPr>
                <w:rFonts w:hint="eastAsia" w:ascii="宋体" w:hAnsi="宋体" w:cs="宋体"/>
                <w:i w:val="0"/>
                <w:iCs w:val="0"/>
                <w:color w:val="000000"/>
                <w:kern w:val="0"/>
                <w:sz w:val="24"/>
                <w:szCs w:val="24"/>
                <w:u w:val="none"/>
                <w:lang w:val="en-US" w:eastAsia="zh-CN" w:bidi="ar"/>
              </w:rPr>
              <w:t>2次</w:t>
            </w:r>
          </w:p>
        </w:tc>
        <w:tc>
          <w:tcPr>
            <w:tcW w:w="1295" w:type="dxa"/>
            <w:tcBorders>
              <w:top w:val="nil"/>
              <w:left w:val="nil"/>
              <w:bottom w:val="single" w:color="auto" w:sz="4" w:space="0"/>
              <w:right w:val="single" w:color="auto" w:sz="4" w:space="0"/>
              <w:tl2br w:val="nil"/>
              <w:tr2bl w:val="nil"/>
            </w:tcBorders>
            <w:vAlign w:val="center"/>
          </w:tcPr>
          <w:p w14:paraId="5D58CFFE">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2次</w:t>
            </w:r>
          </w:p>
        </w:tc>
        <w:tc>
          <w:tcPr>
            <w:tcW w:w="676" w:type="dxa"/>
            <w:tcBorders>
              <w:top w:val="nil"/>
              <w:left w:val="nil"/>
              <w:bottom w:val="single" w:color="auto" w:sz="4" w:space="0"/>
              <w:right w:val="single" w:color="auto" w:sz="4" w:space="0"/>
              <w:tl2br w:val="nil"/>
              <w:tr2bl w:val="nil"/>
            </w:tcBorders>
            <w:vAlign w:val="center"/>
          </w:tcPr>
          <w:p w14:paraId="34874695">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10</w:t>
            </w:r>
          </w:p>
        </w:tc>
        <w:tc>
          <w:tcPr>
            <w:tcW w:w="546" w:type="dxa"/>
            <w:gridSpan w:val="2"/>
            <w:tcBorders>
              <w:top w:val="nil"/>
              <w:left w:val="nil"/>
              <w:bottom w:val="single" w:color="auto" w:sz="4" w:space="0"/>
              <w:right w:val="single" w:color="auto" w:sz="4" w:space="0"/>
              <w:tl2br w:val="nil"/>
              <w:tr2bl w:val="nil"/>
            </w:tcBorders>
            <w:vAlign w:val="center"/>
          </w:tcPr>
          <w:p w14:paraId="5F6AED73">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10</w:t>
            </w:r>
          </w:p>
        </w:tc>
        <w:tc>
          <w:tcPr>
            <w:tcW w:w="1384" w:type="dxa"/>
            <w:gridSpan w:val="2"/>
            <w:tcBorders>
              <w:top w:val="single" w:color="auto" w:sz="4" w:space="0"/>
              <w:left w:val="nil"/>
              <w:bottom w:val="single" w:color="auto" w:sz="4" w:space="0"/>
              <w:right w:val="single" w:color="auto" w:sz="4" w:space="0"/>
              <w:tl2br w:val="nil"/>
              <w:tr2bl w:val="nil"/>
            </w:tcBorders>
            <w:vAlign w:val="center"/>
          </w:tcPr>
          <w:p w14:paraId="27D02625">
            <w:pPr>
              <w:widowControl/>
              <w:spacing w:line="240" w:lineRule="exact"/>
              <w:jc w:val="center"/>
              <w:rPr>
                <w:rFonts w:hint="eastAsia" w:ascii="仿宋_GB2312" w:eastAsia="仿宋_GB2312"/>
                <w:kern w:val="0"/>
                <w:sz w:val="24"/>
              </w:rPr>
            </w:pPr>
          </w:p>
        </w:tc>
      </w:tr>
      <w:tr w14:paraId="79EDBBD3">
        <w:tblPrEx>
          <w:tblCellMar>
            <w:top w:w="0" w:type="dxa"/>
            <w:left w:w="0" w:type="dxa"/>
            <w:bottom w:w="0" w:type="dxa"/>
            <w:right w:w="0" w:type="dxa"/>
          </w:tblCellMar>
        </w:tblPrEx>
        <w:trPr>
          <w:gridAfter w:val="1"/>
          <w:wAfter w:w="46" w:type="dxa"/>
          <w:trHeight w:val="466" w:hRule="atLeast"/>
          <w:jc w:val="center"/>
        </w:trPr>
        <w:tc>
          <w:tcPr>
            <w:tcW w:w="852" w:type="dxa"/>
            <w:vMerge w:val="continue"/>
            <w:tcBorders>
              <w:top w:val="nil"/>
              <w:left w:val="single" w:color="auto" w:sz="4" w:space="0"/>
              <w:bottom w:val="single" w:color="auto" w:sz="4" w:space="0"/>
              <w:right w:val="single" w:color="auto" w:sz="4" w:space="0"/>
              <w:tl2br w:val="nil"/>
              <w:tr2bl w:val="nil"/>
            </w:tcBorders>
            <w:vAlign w:val="center"/>
          </w:tcPr>
          <w:p w14:paraId="30DF3BB7">
            <w:pPr>
              <w:rPr>
                <w:rFonts w:hint="eastAsia" w:ascii="仿宋_GB2312" w:eastAsia="仿宋_GB2312"/>
              </w:rPr>
            </w:pPr>
          </w:p>
        </w:tc>
        <w:tc>
          <w:tcPr>
            <w:tcW w:w="786"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68399CA3">
            <w:pPr>
              <w:rPr>
                <w:rFonts w:hint="eastAsia" w:ascii="仿宋_GB2312" w:eastAsia="仿宋_GB2312"/>
              </w:rPr>
            </w:pPr>
          </w:p>
        </w:tc>
        <w:tc>
          <w:tcPr>
            <w:tcW w:w="1465"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33CEC608">
            <w:pPr>
              <w:rPr>
                <w:rFonts w:hint="eastAsia" w:ascii="仿宋_GB2312" w:eastAsia="仿宋_GB2312"/>
              </w:rPr>
            </w:pPr>
          </w:p>
        </w:tc>
        <w:tc>
          <w:tcPr>
            <w:tcW w:w="1577" w:type="dxa"/>
            <w:gridSpan w:val="2"/>
            <w:tcBorders>
              <w:top w:val="single" w:color="auto" w:sz="4" w:space="0"/>
              <w:left w:val="nil"/>
              <w:bottom w:val="single" w:color="auto" w:sz="4" w:space="0"/>
              <w:right w:val="single" w:color="auto" w:sz="4" w:space="0"/>
              <w:tl2br w:val="nil"/>
              <w:tr2bl w:val="nil"/>
            </w:tcBorders>
            <w:vAlign w:val="center"/>
          </w:tcPr>
          <w:p w14:paraId="41B56C63">
            <w:pPr>
              <w:keepNext w:val="0"/>
              <w:keepLines w:val="0"/>
              <w:widowControl/>
              <w:suppressLineNumbers w:val="0"/>
              <w:jc w:val="left"/>
              <w:textAlignment w:val="center"/>
              <w:rPr>
                <w:rFonts w:hint="eastAsia" w:ascii="仿宋_GB2312" w:eastAsia="仿宋_GB2312"/>
                <w:color w:val="000000"/>
                <w:kern w:val="0"/>
                <w:sz w:val="24"/>
              </w:rPr>
            </w:pPr>
            <w:r>
              <w:rPr>
                <w:rFonts w:hint="eastAsia" w:ascii="宋体" w:hAnsi="宋体" w:cs="宋体"/>
                <w:i w:val="0"/>
                <w:iCs w:val="0"/>
                <w:color w:val="000000"/>
                <w:kern w:val="0"/>
                <w:sz w:val="24"/>
                <w:szCs w:val="24"/>
                <w:u w:val="none"/>
                <w:lang w:val="en-US" w:eastAsia="zh-CN" w:bidi="ar"/>
              </w:rPr>
              <w:t>培训天数</w:t>
            </w:r>
          </w:p>
        </w:tc>
        <w:tc>
          <w:tcPr>
            <w:tcW w:w="634" w:type="dxa"/>
            <w:tcBorders>
              <w:top w:val="nil"/>
              <w:left w:val="nil"/>
              <w:bottom w:val="single" w:color="auto" w:sz="4" w:space="0"/>
              <w:right w:val="single" w:color="auto" w:sz="4" w:space="0"/>
              <w:tl2br w:val="nil"/>
              <w:tr2bl w:val="nil"/>
            </w:tcBorders>
            <w:vAlign w:val="center"/>
          </w:tcPr>
          <w:p w14:paraId="1383AD04">
            <w:pPr>
              <w:keepNext w:val="0"/>
              <w:keepLines w:val="0"/>
              <w:widowControl/>
              <w:suppressLineNumbers w:val="0"/>
              <w:jc w:val="center"/>
              <w:textAlignment w:val="center"/>
              <w:rPr>
                <w:rFonts w:hint="default" w:ascii="仿宋_GB2312" w:eastAsia="仿宋_GB2312"/>
                <w:kern w:val="0"/>
                <w:sz w:val="24"/>
                <w:lang w:val="en-US"/>
              </w:rPr>
            </w:pPr>
            <w:r>
              <w:rPr>
                <w:rFonts w:hint="eastAsia" w:ascii="宋体" w:hAnsi="宋体" w:cs="宋体"/>
                <w:i w:val="0"/>
                <w:iCs w:val="0"/>
                <w:color w:val="000000"/>
                <w:kern w:val="0"/>
                <w:sz w:val="24"/>
                <w:szCs w:val="24"/>
                <w:u w:val="none"/>
                <w:lang w:val="en-US" w:eastAsia="zh-CN" w:bidi="ar"/>
              </w:rPr>
              <w:t xml:space="preserve"> 2天</w:t>
            </w:r>
          </w:p>
        </w:tc>
        <w:tc>
          <w:tcPr>
            <w:tcW w:w="1295" w:type="dxa"/>
            <w:tcBorders>
              <w:top w:val="nil"/>
              <w:left w:val="nil"/>
              <w:bottom w:val="single" w:color="auto" w:sz="4" w:space="0"/>
              <w:right w:val="single" w:color="auto" w:sz="4" w:space="0"/>
              <w:tl2br w:val="nil"/>
              <w:tr2bl w:val="nil"/>
            </w:tcBorders>
            <w:vAlign w:val="center"/>
          </w:tcPr>
          <w:p w14:paraId="50404C78">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2天</w:t>
            </w:r>
          </w:p>
        </w:tc>
        <w:tc>
          <w:tcPr>
            <w:tcW w:w="676" w:type="dxa"/>
            <w:tcBorders>
              <w:top w:val="nil"/>
              <w:left w:val="nil"/>
              <w:bottom w:val="single" w:color="auto" w:sz="4" w:space="0"/>
              <w:right w:val="single" w:color="auto" w:sz="4" w:space="0"/>
              <w:tl2br w:val="nil"/>
              <w:tr2bl w:val="nil"/>
            </w:tcBorders>
            <w:vAlign w:val="center"/>
          </w:tcPr>
          <w:p w14:paraId="76F1F77F">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5</w:t>
            </w:r>
          </w:p>
        </w:tc>
        <w:tc>
          <w:tcPr>
            <w:tcW w:w="546" w:type="dxa"/>
            <w:gridSpan w:val="2"/>
            <w:tcBorders>
              <w:top w:val="nil"/>
              <w:left w:val="nil"/>
              <w:bottom w:val="single" w:color="auto" w:sz="4" w:space="0"/>
              <w:right w:val="single" w:color="auto" w:sz="4" w:space="0"/>
              <w:tl2br w:val="nil"/>
              <w:tr2bl w:val="nil"/>
            </w:tcBorders>
            <w:vAlign w:val="center"/>
          </w:tcPr>
          <w:p w14:paraId="0B6290A8">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5</w:t>
            </w:r>
          </w:p>
        </w:tc>
        <w:tc>
          <w:tcPr>
            <w:tcW w:w="1384" w:type="dxa"/>
            <w:gridSpan w:val="2"/>
            <w:tcBorders>
              <w:top w:val="single" w:color="auto" w:sz="4" w:space="0"/>
              <w:left w:val="nil"/>
              <w:bottom w:val="single" w:color="auto" w:sz="4" w:space="0"/>
              <w:right w:val="single" w:color="auto" w:sz="4" w:space="0"/>
              <w:tl2br w:val="nil"/>
              <w:tr2bl w:val="nil"/>
            </w:tcBorders>
            <w:vAlign w:val="center"/>
          </w:tcPr>
          <w:p w14:paraId="2E0C72C1">
            <w:pPr>
              <w:widowControl/>
              <w:spacing w:line="240" w:lineRule="exact"/>
              <w:jc w:val="center"/>
              <w:rPr>
                <w:rFonts w:hint="eastAsia" w:ascii="仿宋_GB2312" w:eastAsia="仿宋_GB2312"/>
                <w:kern w:val="0"/>
                <w:sz w:val="24"/>
              </w:rPr>
            </w:pPr>
          </w:p>
        </w:tc>
      </w:tr>
      <w:tr w14:paraId="2D5AFF83">
        <w:tblPrEx>
          <w:tblCellMar>
            <w:top w:w="0" w:type="dxa"/>
            <w:left w:w="0" w:type="dxa"/>
            <w:bottom w:w="0" w:type="dxa"/>
            <w:right w:w="0" w:type="dxa"/>
          </w:tblCellMar>
        </w:tblPrEx>
        <w:trPr>
          <w:gridAfter w:val="1"/>
          <w:wAfter w:w="46" w:type="dxa"/>
          <w:trHeight w:val="812" w:hRule="atLeast"/>
          <w:jc w:val="center"/>
        </w:trPr>
        <w:tc>
          <w:tcPr>
            <w:tcW w:w="852" w:type="dxa"/>
            <w:vMerge w:val="continue"/>
            <w:tcBorders>
              <w:top w:val="nil"/>
              <w:left w:val="single" w:color="auto" w:sz="4" w:space="0"/>
              <w:bottom w:val="single" w:color="auto" w:sz="4" w:space="0"/>
              <w:right w:val="single" w:color="auto" w:sz="4" w:space="0"/>
              <w:tl2br w:val="nil"/>
              <w:tr2bl w:val="nil"/>
            </w:tcBorders>
            <w:vAlign w:val="center"/>
          </w:tcPr>
          <w:p w14:paraId="1E98FD5E">
            <w:pPr>
              <w:rPr>
                <w:rFonts w:hint="eastAsia" w:ascii="仿宋_GB2312" w:eastAsia="仿宋_GB2312"/>
              </w:rPr>
            </w:pPr>
          </w:p>
        </w:tc>
        <w:tc>
          <w:tcPr>
            <w:tcW w:w="786"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64FC1D53">
            <w:pPr>
              <w:rPr>
                <w:rFonts w:hint="eastAsia" w:ascii="仿宋_GB2312" w:eastAsia="仿宋_GB2312"/>
              </w:rPr>
            </w:pPr>
          </w:p>
        </w:tc>
        <w:tc>
          <w:tcPr>
            <w:tcW w:w="1465"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0ECB9DF7">
            <w:pPr>
              <w:widowControl/>
              <w:spacing w:line="240" w:lineRule="exact"/>
              <w:jc w:val="center"/>
              <w:rPr>
                <w:rFonts w:hint="eastAsia" w:ascii="仿宋_GB2312" w:eastAsia="仿宋_GB2312"/>
                <w:kern w:val="0"/>
                <w:sz w:val="24"/>
              </w:rPr>
            </w:pPr>
            <w:r>
              <w:rPr>
                <w:rFonts w:hint="eastAsia" w:ascii="仿宋_GB2312" w:eastAsia="仿宋_GB2312"/>
                <w:kern w:val="0"/>
                <w:sz w:val="24"/>
              </w:rPr>
              <w:t>质量指标</w:t>
            </w:r>
          </w:p>
        </w:tc>
        <w:tc>
          <w:tcPr>
            <w:tcW w:w="1577" w:type="dxa"/>
            <w:gridSpan w:val="2"/>
            <w:tcBorders>
              <w:top w:val="single" w:color="auto" w:sz="4" w:space="0"/>
              <w:left w:val="nil"/>
              <w:bottom w:val="single" w:color="auto" w:sz="4" w:space="0"/>
              <w:right w:val="single" w:color="auto" w:sz="4" w:space="0"/>
              <w:tl2br w:val="nil"/>
              <w:tr2bl w:val="nil"/>
            </w:tcBorders>
            <w:vAlign w:val="center"/>
          </w:tcPr>
          <w:p w14:paraId="023D48A8">
            <w:pPr>
              <w:keepNext w:val="0"/>
              <w:keepLines w:val="0"/>
              <w:widowControl/>
              <w:suppressLineNumbers w:val="0"/>
              <w:jc w:val="left"/>
              <w:textAlignment w:val="center"/>
              <w:rPr>
                <w:rFonts w:hint="eastAsia" w:ascii="仿宋_GB2312" w:eastAsia="仿宋_GB2312"/>
                <w:color w:val="000000"/>
                <w:kern w:val="0"/>
                <w:sz w:val="24"/>
              </w:rPr>
            </w:pPr>
            <w:r>
              <w:rPr>
                <w:rFonts w:hint="eastAsia" w:ascii="宋体" w:hAnsi="宋体" w:cs="宋体"/>
                <w:i w:val="0"/>
                <w:iCs w:val="0"/>
                <w:color w:val="000000"/>
                <w:kern w:val="0"/>
                <w:sz w:val="24"/>
                <w:szCs w:val="24"/>
                <w:u w:val="none"/>
                <w:lang w:val="en-US" w:eastAsia="zh-CN" w:bidi="ar"/>
              </w:rPr>
              <w:t>排查整改情况</w:t>
            </w:r>
          </w:p>
        </w:tc>
        <w:tc>
          <w:tcPr>
            <w:tcW w:w="634" w:type="dxa"/>
            <w:tcBorders>
              <w:top w:val="single" w:color="auto" w:sz="4" w:space="0"/>
              <w:left w:val="single" w:color="auto" w:sz="4" w:space="0"/>
              <w:bottom w:val="single" w:color="auto" w:sz="4" w:space="0"/>
              <w:right w:val="single" w:color="auto" w:sz="4" w:space="0"/>
              <w:tl2br w:val="nil"/>
              <w:tr2bl w:val="nil"/>
            </w:tcBorders>
            <w:vAlign w:val="center"/>
          </w:tcPr>
          <w:p w14:paraId="692C55F6">
            <w:pPr>
              <w:keepNext w:val="0"/>
              <w:keepLines w:val="0"/>
              <w:widowControl/>
              <w:suppressLineNumbers w:val="0"/>
              <w:jc w:val="center"/>
              <w:textAlignment w:val="center"/>
              <w:rPr>
                <w:rFonts w:hint="eastAsia" w:ascii="仿宋_GB2312" w:eastAsia="仿宋_GB2312"/>
                <w:kern w:val="0"/>
                <w:sz w:val="24"/>
              </w:rPr>
            </w:pPr>
            <w:r>
              <w:rPr>
                <w:rFonts w:hint="eastAsia" w:ascii="宋体" w:hAnsi="宋体" w:eastAsia="宋体" w:cs="宋体"/>
                <w:i w:val="0"/>
                <w:iCs w:val="0"/>
                <w:color w:val="000000"/>
                <w:kern w:val="0"/>
                <w:sz w:val="24"/>
                <w:szCs w:val="24"/>
                <w:u w:val="none"/>
                <w:lang w:val="en-US" w:eastAsia="zh-CN" w:bidi="ar"/>
              </w:rPr>
              <w:t>≥</w:t>
            </w:r>
            <w:r>
              <w:rPr>
                <w:rFonts w:hint="eastAsia" w:ascii="宋体" w:hAnsi="宋体" w:cs="宋体"/>
                <w:i w:val="0"/>
                <w:iCs w:val="0"/>
                <w:color w:val="000000"/>
                <w:kern w:val="0"/>
                <w:sz w:val="24"/>
                <w:szCs w:val="24"/>
                <w:u w:val="none"/>
                <w:lang w:val="en-US" w:eastAsia="zh-CN" w:bidi="ar"/>
              </w:rPr>
              <w:t>95%</w:t>
            </w:r>
          </w:p>
        </w:tc>
        <w:tc>
          <w:tcPr>
            <w:tcW w:w="1295" w:type="dxa"/>
            <w:tcBorders>
              <w:top w:val="single" w:color="auto" w:sz="4" w:space="0"/>
              <w:left w:val="nil"/>
              <w:bottom w:val="single" w:color="auto" w:sz="4" w:space="0"/>
              <w:right w:val="single" w:color="auto" w:sz="4" w:space="0"/>
              <w:tl2br w:val="nil"/>
              <w:tr2bl w:val="nil"/>
            </w:tcBorders>
            <w:vAlign w:val="center"/>
          </w:tcPr>
          <w:p w14:paraId="43729F10">
            <w:pPr>
              <w:keepNext w:val="0"/>
              <w:keepLines w:val="0"/>
              <w:widowControl/>
              <w:suppressLineNumbers w:val="0"/>
              <w:jc w:val="center"/>
              <w:textAlignment w:val="center"/>
              <w:rPr>
                <w:rFonts w:hint="eastAsia" w:ascii="仿宋_GB2312" w:eastAsia="仿宋_GB2312"/>
                <w:kern w:val="0"/>
                <w:sz w:val="24"/>
              </w:rPr>
            </w:pPr>
            <w:r>
              <w:rPr>
                <w:rFonts w:hint="eastAsia" w:ascii="宋体" w:hAnsi="宋体" w:cs="宋体"/>
                <w:i w:val="0"/>
                <w:iCs w:val="0"/>
                <w:color w:val="000000"/>
                <w:kern w:val="0"/>
                <w:sz w:val="24"/>
                <w:szCs w:val="24"/>
                <w:u w:val="none"/>
                <w:lang w:val="en-US" w:eastAsia="zh-CN" w:bidi="ar"/>
              </w:rPr>
              <w:t>95</w:t>
            </w:r>
            <w:r>
              <w:rPr>
                <w:rFonts w:hint="eastAsia" w:ascii="宋体" w:hAnsi="宋体" w:eastAsia="宋体" w:cs="宋体"/>
                <w:i w:val="0"/>
                <w:iCs w:val="0"/>
                <w:color w:val="000000"/>
                <w:kern w:val="0"/>
                <w:sz w:val="24"/>
                <w:szCs w:val="24"/>
                <w:u w:val="none"/>
                <w:lang w:val="en-US" w:eastAsia="zh-CN" w:bidi="ar"/>
              </w:rPr>
              <w:t>%</w:t>
            </w:r>
          </w:p>
        </w:tc>
        <w:tc>
          <w:tcPr>
            <w:tcW w:w="676" w:type="dxa"/>
            <w:tcBorders>
              <w:top w:val="single" w:color="auto" w:sz="4" w:space="0"/>
              <w:left w:val="nil"/>
              <w:bottom w:val="single" w:color="auto" w:sz="4" w:space="0"/>
              <w:right w:val="single" w:color="auto" w:sz="4" w:space="0"/>
              <w:tl2br w:val="nil"/>
              <w:tr2bl w:val="nil"/>
            </w:tcBorders>
            <w:vAlign w:val="center"/>
          </w:tcPr>
          <w:p w14:paraId="458F7B9D">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5</w:t>
            </w:r>
          </w:p>
        </w:tc>
        <w:tc>
          <w:tcPr>
            <w:tcW w:w="546" w:type="dxa"/>
            <w:gridSpan w:val="2"/>
            <w:tcBorders>
              <w:top w:val="single" w:color="auto" w:sz="4" w:space="0"/>
              <w:left w:val="nil"/>
              <w:bottom w:val="single" w:color="auto" w:sz="4" w:space="0"/>
              <w:right w:val="single" w:color="auto" w:sz="4" w:space="0"/>
              <w:tl2br w:val="nil"/>
              <w:tr2bl w:val="nil"/>
            </w:tcBorders>
            <w:vAlign w:val="center"/>
          </w:tcPr>
          <w:p w14:paraId="7AAADED7">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5</w:t>
            </w:r>
          </w:p>
        </w:tc>
        <w:tc>
          <w:tcPr>
            <w:tcW w:w="1384" w:type="dxa"/>
            <w:gridSpan w:val="2"/>
            <w:tcBorders>
              <w:top w:val="single" w:color="auto" w:sz="4" w:space="0"/>
              <w:left w:val="nil"/>
              <w:bottom w:val="single" w:color="auto" w:sz="4" w:space="0"/>
              <w:right w:val="single" w:color="auto" w:sz="4" w:space="0"/>
              <w:tl2br w:val="nil"/>
              <w:tr2bl w:val="nil"/>
            </w:tcBorders>
            <w:vAlign w:val="center"/>
          </w:tcPr>
          <w:p w14:paraId="7C2FFD42">
            <w:pPr>
              <w:widowControl/>
              <w:spacing w:line="240" w:lineRule="exact"/>
              <w:jc w:val="center"/>
              <w:rPr>
                <w:rFonts w:hint="eastAsia" w:ascii="仿宋_GB2312" w:eastAsia="仿宋_GB2312"/>
                <w:kern w:val="0"/>
                <w:sz w:val="24"/>
              </w:rPr>
            </w:pPr>
          </w:p>
        </w:tc>
      </w:tr>
      <w:tr w14:paraId="3C21B5C0">
        <w:tblPrEx>
          <w:tblCellMar>
            <w:top w:w="0" w:type="dxa"/>
            <w:left w:w="0" w:type="dxa"/>
            <w:bottom w:w="0" w:type="dxa"/>
            <w:right w:w="0" w:type="dxa"/>
          </w:tblCellMar>
        </w:tblPrEx>
        <w:trPr>
          <w:gridAfter w:val="1"/>
          <w:wAfter w:w="46" w:type="dxa"/>
          <w:trHeight w:val="812" w:hRule="atLeast"/>
          <w:jc w:val="center"/>
        </w:trPr>
        <w:tc>
          <w:tcPr>
            <w:tcW w:w="852" w:type="dxa"/>
            <w:vMerge w:val="continue"/>
            <w:tcBorders>
              <w:top w:val="nil"/>
              <w:left w:val="single" w:color="auto" w:sz="4" w:space="0"/>
              <w:bottom w:val="single" w:color="auto" w:sz="4" w:space="0"/>
              <w:right w:val="single" w:color="auto" w:sz="4" w:space="0"/>
              <w:tl2br w:val="nil"/>
              <w:tr2bl w:val="nil"/>
            </w:tcBorders>
            <w:vAlign w:val="center"/>
          </w:tcPr>
          <w:p w14:paraId="7C022EBA">
            <w:pPr>
              <w:rPr>
                <w:rFonts w:hint="eastAsia" w:ascii="仿宋_GB2312" w:eastAsia="仿宋_GB2312"/>
              </w:rPr>
            </w:pPr>
          </w:p>
        </w:tc>
        <w:tc>
          <w:tcPr>
            <w:tcW w:w="786"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2B05DDE1">
            <w:pPr>
              <w:rPr>
                <w:rFonts w:hint="eastAsia" w:ascii="仿宋_GB2312" w:eastAsia="仿宋_GB2312"/>
              </w:rPr>
            </w:pPr>
          </w:p>
        </w:tc>
        <w:tc>
          <w:tcPr>
            <w:tcW w:w="1465"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29902F10">
            <w:pPr>
              <w:widowControl/>
              <w:spacing w:line="240" w:lineRule="exact"/>
              <w:jc w:val="center"/>
              <w:rPr>
                <w:rFonts w:hint="eastAsia" w:ascii="仿宋_GB2312" w:eastAsia="仿宋_GB2312"/>
                <w:kern w:val="0"/>
                <w:sz w:val="24"/>
              </w:rPr>
            </w:pPr>
          </w:p>
        </w:tc>
        <w:tc>
          <w:tcPr>
            <w:tcW w:w="1577" w:type="dxa"/>
            <w:gridSpan w:val="2"/>
            <w:tcBorders>
              <w:top w:val="single" w:color="auto" w:sz="4" w:space="0"/>
              <w:left w:val="nil"/>
              <w:bottom w:val="single" w:color="auto" w:sz="4" w:space="0"/>
              <w:right w:val="single" w:color="auto" w:sz="4" w:space="0"/>
              <w:tl2br w:val="nil"/>
              <w:tr2bl w:val="nil"/>
            </w:tcBorders>
            <w:vAlign w:val="center"/>
          </w:tcPr>
          <w:p w14:paraId="7783D4B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培训覆盖率</w:t>
            </w:r>
          </w:p>
        </w:tc>
        <w:tc>
          <w:tcPr>
            <w:tcW w:w="634" w:type="dxa"/>
            <w:tcBorders>
              <w:top w:val="single" w:color="auto" w:sz="4" w:space="0"/>
              <w:left w:val="nil"/>
              <w:bottom w:val="single" w:color="auto" w:sz="4" w:space="0"/>
              <w:right w:val="single" w:color="auto" w:sz="4" w:space="0"/>
              <w:tl2br w:val="nil"/>
              <w:tr2bl w:val="nil"/>
            </w:tcBorders>
            <w:vAlign w:val="center"/>
          </w:tcPr>
          <w:p w14:paraId="065127F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r>
              <w:rPr>
                <w:rFonts w:hint="eastAsia" w:ascii="宋体" w:hAnsi="宋体" w:cs="宋体"/>
                <w:i w:val="0"/>
                <w:iCs w:val="0"/>
                <w:color w:val="000000"/>
                <w:kern w:val="0"/>
                <w:sz w:val="24"/>
                <w:szCs w:val="24"/>
                <w:u w:val="none"/>
                <w:lang w:val="en-US" w:eastAsia="zh-CN" w:bidi="ar"/>
              </w:rPr>
              <w:t>95%</w:t>
            </w:r>
          </w:p>
        </w:tc>
        <w:tc>
          <w:tcPr>
            <w:tcW w:w="1295" w:type="dxa"/>
            <w:tcBorders>
              <w:top w:val="single" w:color="auto" w:sz="4" w:space="0"/>
              <w:left w:val="nil"/>
              <w:bottom w:val="single" w:color="auto" w:sz="4" w:space="0"/>
              <w:right w:val="single" w:color="auto" w:sz="4" w:space="0"/>
              <w:tl2br w:val="nil"/>
              <w:tr2bl w:val="nil"/>
            </w:tcBorders>
            <w:vAlign w:val="center"/>
          </w:tcPr>
          <w:p w14:paraId="5186AA1F">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95%</w:t>
            </w:r>
          </w:p>
        </w:tc>
        <w:tc>
          <w:tcPr>
            <w:tcW w:w="676" w:type="dxa"/>
            <w:tcBorders>
              <w:top w:val="single" w:color="auto" w:sz="4" w:space="0"/>
              <w:left w:val="nil"/>
              <w:bottom w:val="single" w:color="auto" w:sz="4" w:space="0"/>
              <w:right w:val="single" w:color="auto" w:sz="4" w:space="0"/>
              <w:tl2br w:val="nil"/>
              <w:tr2bl w:val="nil"/>
            </w:tcBorders>
            <w:vAlign w:val="center"/>
          </w:tcPr>
          <w:p w14:paraId="6CEFE7DC">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10</w:t>
            </w:r>
          </w:p>
        </w:tc>
        <w:tc>
          <w:tcPr>
            <w:tcW w:w="546" w:type="dxa"/>
            <w:gridSpan w:val="2"/>
            <w:tcBorders>
              <w:top w:val="single" w:color="auto" w:sz="4" w:space="0"/>
              <w:left w:val="nil"/>
              <w:bottom w:val="single" w:color="auto" w:sz="4" w:space="0"/>
              <w:right w:val="single" w:color="auto" w:sz="4" w:space="0"/>
              <w:tl2br w:val="nil"/>
              <w:tr2bl w:val="nil"/>
            </w:tcBorders>
            <w:vAlign w:val="center"/>
          </w:tcPr>
          <w:p w14:paraId="47F81F74">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9</w:t>
            </w:r>
          </w:p>
        </w:tc>
        <w:tc>
          <w:tcPr>
            <w:tcW w:w="1384" w:type="dxa"/>
            <w:gridSpan w:val="2"/>
            <w:tcBorders>
              <w:top w:val="single" w:color="auto" w:sz="4" w:space="0"/>
              <w:left w:val="nil"/>
              <w:bottom w:val="single" w:color="auto" w:sz="4" w:space="0"/>
              <w:right w:val="single" w:color="auto" w:sz="4" w:space="0"/>
              <w:tl2br w:val="nil"/>
              <w:tr2bl w:val="nil"/>
            </w:tcBorders>
            <w:vAlign w:val="center"/>
          </w:tcPr>
          <w:p w14:paraId="32E5E239">
            <w:pPr>
              <w:widowControl/>
              <w:spacing w:line="240" w:lineRule="exact"/>
              <w:jc w:val="center"/>
              <w:rPr>
                <w:rFonts w:hint="eastAsia" w:ascii="仿宋_GB2312" w:eastAsia="仿宋_GB2312"/>
                <w:kern w:val="0"/>
                <w:sz w:val="24"/>
              </w:rPr>
            </w:pPr>
            <w:r>
              <w:rPr>
                <w:rFonts w:hint="eastAsia" w:ascii="仿宋_GB2312" w:eastAsia="仿宋_GB2312"/>
                <w:kern w:val="0"/>
                <w:sz w:val="24"/>
              </w:rPr>
              <w:t>日常业务、专项任务、检查考核等工作叠加，部分人员未能及时参加培训</w:t>
            </w:r>
          </w:p>
        </w:tc>
      </w:tr>
      <w:tr w14:paraId="59A0A6E8">
        <w:tblPrEx>
          <w:tblCellMar>
            <w:top w:w="0" w:type="dxa"/>
            <w:left w:w="0" w:type="dxa"/>
            <w:bottom w:w="0" w:type="dxa"/>
            <w:right w:w="0" w:type="dxa"/>
          </w:tblCellMar>
        </w:tblPrEx>
        <w:trPr>
          <w:gridAfter w:val="1"/>
          <w:wAfter w:w="46" w:type="dxa"/>
          <w:trHeight w:val="812" w:hRule="atLeast"/>
          <w:jc w:val="center"/>
        </w:trPr>
        <w:tc>
          <w:tcPr>
            <w:tcW w:w="852" w:type="dxa"/>
            <w:vMerge w:val="continue"/>
            <w:tcBorders>
              <w:top w:val="nil"/>
              <w:left w:val="single" w:color="auto" w:sz="4" w:space="0"/>
              <w:bottom w:val="single" w:color="auto" w:sz="4" w:space="0"/>
              <w:right w:val="single" w:color="auto" w:sz="4" w:space="0"/>
              <w:tl2br w:val="nil"/>
              <w:tr2bl w:val="nil"/>
            </w:tcBorders>
            <w:vAlign w:val="center"/>
          </w:tcPr>
          <w:p w14:paraId="3DF0147F">
            <w:pPr>
              <w:rPr>
                <w:rFonts w:hint="eastAsia" w:ascii="仿宋_GB2312" w:eastAsia="仿宋_GB2312"/>
              </w:rPr>
            </w:pPr>
          </w:p>
        </w:tc>
        <w:tc>
          <w:tcPr>
            <w:tcW w:w="786"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7C9D1E7B">
            <w:pPr>
              <w:rPr>
                <w:rFonts w:hint="eastAsia" w:ascii="仿宋_GB2312" w:eastAsia="仿宋_GB2312"/>
              </w:rPr>
            </w:pPr>
          </w:p>
        </w:tc>
        <w:tc>
          <w:tcPr>
            <w:tcW w:w="1465"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00E0EE1B">
            <w:pPr>
              <w:widowControl/>
              <w:spacing w:line="240" w:lineRule="exact"/>
              <w:jc w:val="center"/>
              <w:rPr>
                <w:rFonts w:hint="eastAsia" w:ascii="仿宋_GB2312" w:eastAsia="仿宋_GB2312"/>
                <w:kern w:val="0"/>
                <w:sz w:val="24"/>
                <w:lang w:eastAsia="zh-CN"/>
              </w:rPr>
            </w:pPr>
            <w:r>
              <w:rPr>
                <w:rFonts w:hint="eastAsia" w:ascii="仿宋_GB2312" w:eastAsia="仿宋_GB2312"/>
                <w:kern w:val="0"/>
                <w:sz w:val="24"/>
                <w:lang w:eastAsia="zh-CN"/>
              </w:rPr>
              <w:t>时效指标</w:t>
            </w:r>
          </w:p>
        </w:tc>
        <w:tc>
          <w:tcPr>
            <w:tcW w:w="1577" w:type="dxa"/>
            <w:gridSpan w:val="2"/>
            <w:tcBorders>
              <w:top w:val="single" w:color="auto" w:sz="4" w:space="0"/>
              <w:left w:val="nil"/>
              <w:bottom w:val="single" w:color="auto" w:sz="4" w:space="0"/>
              <w:right w:val="single" w:color="auto" w:sz="4" w:space="0"/>
              <w:tl2br w:val="nil"/>
              <w:tr2bl w:val="nil"/>
            </w:tcBorders>
            <w:vAlign w:val="center"/>
          </w:tcPr>
          <w:p w14:paraId="63535B09">
            <w:pPr>
              <w:keepNext w:val="0"/>
              <w:keepLines w:val="0"/>
              <w:widowControl/>
              <w:suppressLineNumbers w:val="0"/>
              <w:jc w:val="left"/>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培训截止日期</w:t>
            </w:r>
          </w:p>
        </w:tc>
        <w:tc>
          <w:tcPr>
            <w:tcW w:w="634" w:type="dxa"/>
            <w:tcBorders>
              <w:top w:val="nil"/>
              <w:left w:val="nil"/>
              <w:bottom w:val="single" w:color="auto" w:sz="4" w:space="0"/>
              <w:right w:val="single" w:color="auto" w:sz="4" w:space="0"/>
              <w:tl2br w:val="nil"/>
              <w:tr2bl w:val="nil"/>
            </w:tcBorders>
            <w:vAlign w:val="center"/>
          </w:tcPr>
          <w:p w14:paraId="1B309D8C">
            <w:pPr>
              <w:keepNext w:val="0"/>
              <w:keepLines w:val="0"/>
              <w:widowControl/>
              <w:suppressLineNumbers w:val="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25年12月31日前</w:t>
            </w:r>
          </w:p>
        </w:tc>
        <w:tc>
          <w:tcPr>
            <w:tcW w:w="1295" w:type="dxa"/>
            <w:tcBorders>
              <w:top w:val="nil"/>
              <w:left w:val="nil"/>
              <w:bottom w:val="single" w:color="auto" w:sz="4" w:space="0"/>
              <w:right w:val="single" w:color="auto" w:sz="4" w:space="0"/>
              <w:tl2br w:val="nil"/>
              <w:tr2bl w:val="nil"/>
            </w:tcBorders>
            <w:vAlign w:val="center"/>
          </w:tcPr>
          <w:p w14:paraId="3B3867CD">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已完成</w:t>
            </w:r>
          </w:p>
        </w:tc>
        <w:tc>
          <w:tcPr>
            <w:tcW w:w="676" w:type="dxa"/>
            <w:tcBorders>
              <w:top w:val="nil"/>
              <w:left w:val="nil"/>
              <w:bottom w:val="single" w:color="auto" w:sz="4" w:space="0"/>
              <w:right w:val="single" w:color="auto" w:sz="4" w:space="0"/>
              <w:tl2br w:val="nil"/>
              <w:tr2bl w:val="nil"/>
            </w:tcBorders>
            <w:vAlign w:val="center"/>
          </w:tcPr>
          <w:p w14:paraId="6A6D53F5">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5</w:t>
            </w:r>
          </w:p>
        </w:tc>
        <w:tc>
          <w:tcPr>
            <w:tcW w:w="546" w:type="dxa"/>
            <w:gridSpan w:val="2"/>
            <w:tcBorders>
              <w:top w:val="nil"/>
              <w:left w:val="nil"/>
              <w:bottom w:val="single" w:color="auto" w:sz="4" w:space="0"/>
              <w:right w:val="single" w:color="auto" w:sz="4" w:space="0"/>
              <w:tl2br w:val="nil"/>
              <w:tr2bl w:val="nil"/>
            </w:tcBorders>
            <w:vAlign w:val="center"/>
          </w:tcPr>
          <w:p w14:paraId="5AE0001E">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5</w:t>
            </w:r>
          </w:p>
        </w:tc>
        <w:tc>
          <w:tcPr>
            <w:tcW w:w="1384" w:type="dxa"/>
            <w:gridSpan w:val="2"/>
            <w:tcBorders>
              <w:top w:val="single" w:color="auto" w:sz="4" w:space="0"/>
              <w:left w:val="nil"/>
              <w:bottom w:val="single" w:color="auto" w:sz="4" w:space="0"/>
              <w:right w:val="single" w:color="auto" w:sz="4" w:space="0"/>
              <w:tl2br w:val="nil"/>
              <w:tr2bl w:val="nil"/>
            </w:tcBorders>
            <w:vAlign w:val="center"/>
          </w:tcPr>
          <w:p w14:paraId="21F2A05D">
            <w:pPr>
              <w:widowControl/>
              <w:spacing w:line="240" w:lineRule="exact"/>
              <w:jc w:val="center"/>
              <w:rPr>
                <w:rFonts w:hint="eastAsia" w:ascii="仿宋_GB2312" w:eastAsia="仿宋_GB2312"/>
                <w:kern w:val="0"/>
                <w:sz w:val="24"/>
              </w:rPr>
            </w:pPr>
          </w:p>
        </w:tc>
      </w:tr>
      <w:tr w14:paraId="0C2DFC8D">
        <w:tblPrEx>
          <w:tblCellMar>
            <w:top w:w="0" w:type="dxa"/>
            <w:left w:w="0" w:type="dxa"/>
            <w:bottom w:w="0" w:type="dxa"/>
            <w:right w:w="0" w:type="dxa"/>
          </w:tblCellMar>
        </w:tblPrEx>
        <w:trPr>
          <w:gridAfter w:val="1"/>
          <w:wAfter w:w="46" w:type="dxa"/>
          <w:trHeight w:val="812" w:hRule="atLeast"/>
          <w:jc w:val="center"/>
        </w:trPr>
        <w:tc>
          <w:tcPr>
            <w:tcW w:w="852" w:type="dxa"/>
            <w:vMerge w:val="continue"/>
            <w:tcBorders>
              <w:top w:val="nil"/>
              <w:left w:val="single" w:color="auto" w:sz="4" w:space="0"/>
              <w:bottom w:val="single" w:color="auto" w:sz="4" w:space="0"/>
              <w:right w:val="single" w:color="auto" w:sz="4" w:space="0"/>
              <w:tl2br w:val="nil"/>
              <w:tr2bl w:val="nil"/>
            </w:tcBorders>
            <w:vAlign w:val="center"/>
          </w:tcPr>
          <w:p w14:paraId="7A24175C">
            <w:pPr>
              <w:rPr>
                <w:rFonts w:hint="eastAsia" w:ascii="仿宋_GB2312" w:eastAsia="仿宋_GB2312"/>
              </w:rPr>
            </w:pPr>
          </w:p>
        </w:tc>
        <w:tc>
          <w:tcPr>
            <w:tcW w:w="786"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5F6A7F82">
            <w:pPr>
              <w:rPr>
                <w:rFonts w:hint="eastAsia" w:ascii="仿宋_GB2312" w:eastAsia="仿宋_GB2312"/>
              </w:rPr>
            </w:pPr>
          </w:p>
        </w:tc>
        <w:tc>
          <w:tcPr>
            <w:tcW w:w="1465"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5E687D4A">
            <w:pPr>
              <w:widowControl/>
              <w:spacing w:line="240" w:lineRule="exact"/>
              <w:jc w:val="center"/>
              <w:rPr>
                <w:rFonts w:hint="eastAsia" w:ascii="仿宋_GB2312" w:eastAsia="仿宋_GB2312"/>
                <w:kern w:val="0"/>
                <w:sz w:val="24"/>
              </w:rPr>
            </w:pPr>
          </w:p>
        </w:tc>
        <w:tc>
          <w:tcPr>
            <w:tcW w:w="1577" w:type="dxa"/>
            <w:gridSpan w:val="2"/>
            <w:tcBorders>
              <w:top w:val="single" w:color="auto" w:sz="4" w:space="0"/>
              <w:left w:val="nil"/>
              <w:bottom w:val="single" w:color="auto" w:sz="4" w:space="0"/>
              <w:right w:val="single" w:color="auto" w:sz="4" w:space="0"/>
              <w:tl2br w:val="nil"/>
              <w:tr2bl w:val="nil"/>
            </w:tcBorders>
            <w:vAlign w:val="center"/>
          </w:tcPr>
          <w:p w14:paraId="702C6F04">
            <w:pPr>
              <w:keepNext w:val="0"/>
              <w:keepLines w:val="0"/>
              <w:widowControl/>
              <w:suppressLineNumbers w:val="0"/>
              <w:jc w:val="left"/>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培训及时率</w:t>
            </w:r>
          </w:p>
        </w:tc>
        <w:tc>
          <w:tcPr>
            <w:tcW w:w="634" w:type="dxa"/>
            <w:tcBorders>
              <w:top w:val="nil"/>
              <w:left w:val="nil"/>
              <w:bottom w:val="single" w:color="auto" w:sz="4" w:space="0"/>
              <w:right w:val="single" w:color="auto" w:sz="4" w:space="0"/>
              <w:tl2br w:val="nil"/>
              <w:tr2bl w:val="nil"/>
            </w:tcBorders>
            <w:vAlign w:val="center"/>
          </w:tcPr>
          <w:p w14:paraId="353BC62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r>
              <w:rPr>
                <w:rFonts w:hint="eastAsia" w:ascii="宋体" w:hAnsi="宋体" w:cs="宋体"/>
                <w:i w:val="0"/>
                <w:iCs w:val="0"/>
                <w:color w:val="000000"/>
                <w:kern w:val="0"/>
                <w:sz w:val="24"/>
                <w:szCs w:val="24"/>
                <w:u w:val="none"/>
                <w:lang w:val="en-US" w:eastAsia="zh-CN" w:bidi="ar"/>
              </w:rPr>
              <w:t>95%</w:t>
            </w:r>
          </w:p>
        </w:tc>
        <w:tc>
          <w:tcPr>
            <w:tcW w:w="1295" w:type="dxa"/>
            <w:tcBorders>
              <w:top w:val="nil"/>
              <w:left w:val="nil"/>
              <w:bottom w:val="single" w:color="auto" w:sz="4" w:space="0"/>
              <w:right w:val="single" w:color="auto" w:sz="4" w:space="0"/>
              <w:tl2br w:val="nil"/>
              <w:tr2bl w:val="nil"/>
            </w:tcBorders>
            <w:vAlign w:val="center"/>
          </w:tcPr>
          <w:p w14:paraId="66FAAE4E">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95%</w:t>
            </w:r>
          </w:p>
        </w:tc>
        <w:tc>
          <w:tcPr>
            <w:tcW w:w="676" w:type="dxa"/>
            <w:tcBorders>
              <w:top w:val="nil"/>
              <w:left w:val="nil"/>
              <w:bottom w:val="single" w:color="auto" w:sz="4" w:space="0"/>
              <w:right w:val="single" w:color="auto" w:sz="4" w:space="0"/>
              <w:tl2br w:val="nil"/>
              <w:tr2bl w:val="nil"/>
            </w:tcBorders>
            <w:vAlign w:val="center"/>
          </w:tcPr>
          <w:p w14:paraId="4CD95DC7">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5</w:t>
            </w:r>
          </w:p>
        </w:tc>
        <w:tc>
          <w:tcPr>
            <w:tcW w:w="546" w:type="dxa"/>
            <w:gridSpan w:val="2"/>
            <w:tcBorders>
              <w:top w:val="nil"/>
              <w:left w:val="nil"/>
              <w:bottom w:val="single" w:color="auto" w:sz="4" w:space="0"/>
              <w:right w:val="single" w:color="auto" w:sz="4" w:space="0"/>
              <w:tl2br w:val="nil"/>
              <w:tr2bl w:val="nil"/>
            </w:tcBorders>
            <w:vAlign w:val="center"/>
          </w:tcPr>
          <w:p w14:paraId="1A2FAF51">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5</w:t>
            </w:r>
          </w:p>
        </w:tc>
        <w:tc>
          <w:tcPr>
            <w:tcW w:w="1384" w:type="dxa"/>
            <w:gridSpan w:val="2"/>
            <w:tcBorders>
              <w:top w:val="single" w:color="auto" w:sz="4" w:space="0"/>
              <w:left w:val="nil"/>
              <w:bottom w:val="single" w:color="auto" w:sz="4" w:space="0"/>
              <w:right w:val="single" w:color="auto" w:sz="4" w:space="0"/>
              <w:tl2br w:val="nil"/>
              <w:tr2bl w:val="nil"/>
            </w:tcBorders>
            <w:vAlign w:val="center"/>
          </w:tcPr>
          <w:p w14:paraId="733A5048">
            <w:pPr>
              <w:widowControl/>
              <w:spacing w:line="240" w:lineRule="exact"/>
              <w:jc w:val="center"/>
              <w:rPr>
                <w:rFonts w:hint="eastAsia" w:ascii="仿宋_GB2312" w:eastAsia="仿宋_GB2312"/>
                <w:kern w:val="0"/>
                <w:sz w:val="24"/>
              </w:rPr>
            </w:pPr>
          </w:p>
        </w:tc>
      </w:tr>
      <w:tr w14:paraId="537875DC">
        <w:tblPrEx>
          <w:tblCellMar>
            <w:top w:w="0" w:type="dxa"/>
            <w:left w:w="0" w:type="dxa"/>
            <w:bottom w:w="0" w:type="dxa"/>
            <w:right w:w="0" w:type="dxa"/>
          </w:tblCellMar>
        </w:tblPrEx>
        <w:trPr>
          <w:gridAfter w:val="1"/>
          <w:wAfter w:w="46" w:type="dxa"/>
          <w:trHeight w:val="1104" w:hRule="atLeast"/>
          <w:jc w:val="center"/>
        </w:trPr>
        <w:tc>
          <w:tcPr>
            <w:tcW w:w="852" w:type="dxa"/>
            <w:vMerge w:val="continue"/>
            <w:tcBorders>
              <w:top w:val="nil"/>
              <w:left w:val="single" w:color="auto" w:sz="4" w:space="0"/>
              <w:bottom w:val="single" w:color="auto" w:sz="4" w:space="0"/>
              <w:right w:val="single" w:color="auto" w:sz="4" w:space="0"/>
              <w:tl2br w:val="nil"/>
              <w:tr2bl w:val="nil"/>
            </w:tcBorders>
            <w:vAlign w:val="center"/>
          </w:tcPr>
          <w:p w14:paraId="1B1A4784">
            <w:pPr>
              <w:rPr>
                <w:rFonts w:hint="eastAsia" w:ascii="仿宋_GB2312" w:eastAsia="仿宋_GB2312"/>
              </w:rPr>
            </w:pPr>
          </w:p>
        </w:tc>
        <w:tc>
          <w:tcPr>
            <w:tcW w:w="786"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4EA66E22">
            <w:pPr>
              <w:rPr>
                <w:rFonts w:hint="eastAsia" w:ascii="仿宋_GB2312" w:eastAsia="仿宋_GB2312"/>
              </w:rPr>
            </w:pPr>
          </w:p>
        </w:tc>
        <w:tc>
          <w:tcPr>
            <w:tcW w:w="1465"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3E7C9E5E">
            <w:pPr>
              <w:widowControl/>
              <w:spacing w:line="240" w:lineRule="exact"/>
              <w:jc w:val="center"/>
              <w:rPr>
                <w:rFonts w:hint="eastAsia" w:ascii="仿宋_GB2312" w:eastAsia="仿宋_GB2312"/>
                <w:kern w:val="0"/>
                <w:sz w:val="24"/>
              </w:rPr>
            </w:pPr>
            <w:r>
              <w:rPr>
                <w:rFonts w:hint="eastAsia" w:ascii="仿宋_GB2312" w:eastAsia="仿宋_GB2312"/>
                <w:kern w:val="0"/>
                <w:sz w:val="24"/>
              </w:rPr>
              <w:t>成本指标</w:t>
            </w:r>
          </w:p>
        </w:tc>
        <w:tc>
          <w:tcPr>
            <w:tcW w:w="1577" w:type="dxa"/>
            <w:gridSpan w:val="2"/>
            <w:tcBorders>
              <w:top w:val="single" w:color="auto" w:sz="4" w:space="0"/>
              <w:left w:val="nil"/>
              <w:bottom w:val="single" w:color="auto" w:sz="4" w:space="0"/>
              <w:right w:val="single" w:color="auto" w:sz="4" w:space="0"/>
              <w:tl2br w:val="nil"/>
              <w:tr2bl w:val="nil"/>
            </w:tcBorders>
            <w:vAlign w:val="center"/>
          </w:tcPr>
          <w:p w14:paraId="1927F882">
            <w:pPr>
              <w:keepNext w:val="0"/>
              <w:keepLines w:val="0"/>
              <w:widowControl/>
              <w:suppressLineNumbers w:val="0"/>
              <w:jc w:val="left"/>
              <w:textAlignment w:val="center"/>
              <w:rPr>
                <w:rFonts w:hint="eastAsia" w:ascii="仿宋_GB2312" w:eastAsia="仿宋_GB2312"/>
                <w:color w:val="000000"/>
                <w:kern w:val="0"/>
                <w:sz w:val="24"/>
                <w:lang w:eastAsia="zh-CN"/>
              </w:rPr>
            </w:pPr>
            <w:r>
              <w:rPr>
                <w:rFonts w:hint="eastAsia" w:ascii="宋体" w:hAnsi="宋体" w:cs="宋体"/>
                <w:i w:val="0"/>
                <w:iCs w:val="0"/>
                <w:color w:val="000000"/>
                <w:kern w:val="0"/>
                <w:sz w:val="24"/>
                <w:szCs w:val="24"/>
                <w:u w:val="none"/>
                <w:lang w:val="en-US" w:eastAsia="zh-CN" w:bidi="ar"/>
              </w:rPr>
              <w:t>差旅费用</w:t>
            </w:r>
          </w:p>
        </w:tc>
        <w:tc>
          <w:tcPr>
            <w:tcW w:w="634" w:type="dxa"/>
            <w:tcBorders>
              <w:top w:val="nil"/>
              <w:left w:val="nil"/>
              <w:bottom w:val="single" w:color="auto" w:sz="4" w:space="0"/>
              <w:right w:val="single" w:color="auto" w:sz="4" w:space="0"/>
              <w:tl2br w:val="nil"/>
              <w:tr2bl w:val="nil"/>
            </w:tcBorders>
            <w:vAlign w:val="center"/>
          </w:tcPr>
          <w:p w14:paraId="18446EC3">
            <w:pPr>
              <w:keepNext w:val="0"/>
              <w:keepLines w:val="0"/>
              <w:widowControl/>
              <w:suppressLineNumbers w:val="0"/>
              <w:jc w:val="center"/>
              <w:textAlignment w:val="center"/>
              <w:rPr>
                <w:rFonts w:hint="default" w:ascii="仿宋_GB2312" w:eastAsia="仿宋_GB2312"/>
                <w:kern w:val="0"/>
                <w:sz w:val="24"/>
                <w:lang w:val="en-US"/>
              </w:rPr>
            </w:pPr>
            <w:r>
              <w:rPr>
                <w:rFonts w:hint="eastAsia" w:ascii="宋体" w:hAnsi="宋体" w:eastAsia="宋体" w:cs="宋体"/>
                <w:i w:val="0"/>
                <w:iCs w:val="0"/>
                <w:color w:val="000000"/>
                <w:kern w:val="0"/>
                <w:sz w:val="24"/>
                <w:szCs w:val="24"/>
                <w:u w:val="none"/>
                <w:lang w:val="en-US" w:eastAsia="zh-CN" w:bidi="ar"/>
              </w:rPr>
              <w:t>≤</w:t>
            </w:r>
            <w:r>
              <w:rPr>
                <w:rFonts w:hint="eastAsia" w:ascii="宋体" w:hAnsi="宋体" w:cs="宋体"/>
                <w:i w:val="0"/>
                <w:iCs w:val="0"/>
                <w:color w:val="000000"/>
                <w:kern w:val="0"/>
                <w:sz w:val="24"/>
                <w:szCs w:val="24"/>
                <w:u w:val="none"/>
                <w:lang w:val="en-US" w:eastAsia="zh-CN" w:bidi="ar"/>
              </w:rPr>
              <w:t>1000</w:t>
            </w:r>
            <w:r>
              <w:rPr>
                <w:rFonts w:hint="eastAsia" w:ascii="宋体" w:hAnsi="宋体" w:eastAsia="宋体" w:cs="宋体"/>
                <w:i w:val="0"/>
                <w:iCs w:val="0"/>
                <w:color w:val="000000"/>
                <w:kern w:val="0"/>
                <w:sz w:val="24"/>
                <w:szCs w:val="24"/>
                <w:u w:val="none"/>
                <w:lang w:val="en-US" w:eastAsia="zh-CN" w:bidi="ar"/>
              </w:rPr>
              <w:t>元/</w:t>
            </w:r>
            <w:r>
              <w:rPr>
                <w:rFonts w:hint="eastAsia" w:ascii="宋体" w:hAnsi="宋体" w:cs="宋体"/>
                <w:i w:val="0"/>
                <w:iCs w:val="0"/>
                <w:color w:val="000000"/>
                <w:kern w:val="0"/>
                <w:sz w:val="24"/>
                <w:szCs w:val="24"/>
                <w:u w:val="none"/>
                <w:lang w:val="en-US" w:eastAsia="zh-CN" w:bidi="ar"/>
              </w:rPr>
              <w:t>人/次</w:t>
            </w:r>
          </w:p>
        </w:tc>
        <w:tc>
          <w:tcPr>
            <w:tcW w:w="1295" w:type="dxa"/>
            <w:tcBorders>
              <w:top w:val="nil"/>
              <w:left w:val="nil"/>
              <w:bottom w:val="single" w:color="auto" w:sz="4" w:space="0"/>
              <w:right w:val="single" w:color="auto" w:sz="4" w:space="0"/>
              <w:tl2br w:val="nil"/>
              <w:tr2bl w:val="nil"/>
            </w:tcBorders>
            <w:vAlign w:val="center"/>
          </w:tcPr>
          <w:p w14:paraId="6D8B9700">
            <w:pPr>
              <w:keepNext w:val="0"/>
              <w:keepLines w:val="0"/>
              <w:widowControl/>
              <w:suppressLineNumbers w:val="0"/>
              <w:jc w:val="left"/>
              <w:textAlignment w:val="center"/>
              <w:rPr>
                <w:rFonts w:hint="eastAsia" w:ascii="仿宋_GB2312" w:eastAsia="仿宋_GB2312"/>
                <w:kern w:val="0"/>
                <w:sz w:val="24"/>
                <w:lang w:val="en-US" w:eastAsia="zh-CN"/>
              </w:rPr>
            </w:pPr>
            <w:r>
              <w:rPr>
                <w:rFonts w:hint="eastAsia" w:ascii="宋体" w:hAnsi="宋体" w:cs="宋体"/>
                <w:i w:val="0"/>
                <w:iCs w:val="0"/>
                <w:color w:val="000000"/>
                <w:kern w:val="0"/>
                <w:sz w:val="24"/>
                <w:szCs w:val="24"/>
                <w:u w:val="none"/>
                <w:lang w:val="en-US" w:eastAsia="zh-CN" w:bidi="ar"/>
              </w:rPr>
              <w:t>1000</w:t>
            </w:r>
            <w:r>
              <w:rPr>
                <w:rFonts w:hint="eastAsia" w:ascii="宋体" w:hAnsi="宋体" w:eastAsia="宋体" w:cs="宋体"/>
                <w:i w:val="0"/>
                <w:iCs w:val="0"/>
                <w:color w:val="000000"/>
                <w:kern w:val="0"/>
                <w:sz w:val="24"/>
                <w:szCs w:val="24"/>
                <w:u w:val="none"/>
                <w:lang w:val="en-US" w:eastAsia="zh-CN" w:bidi="ar"/>
              </w:rPr>
              <w:t>元/</w:t>
            </w:r>
            <w:r>
              <w:rPr>
                <w:rFonts w:hint="eastAsia" w:ascii="宋体" w:hAnsi="宋体" w:cs="宋体"/>
                <w:i w:val="0"/>
                <w:iCs w:val="0"/>
                <w:color w:val="000000"/>
                <w:kern w:val="0"/>
                <w:sz w:val="24"/>
                <w:szCs w:val="24"/>
                <w:u w:val="none"/>
                <w:lang w:val="en-US" w:eastAsia="zh-CN" w:bidi="ar"/>
              </w:rPr>
              <w:t>人/次</w:t>
            </w:r>
          </w:p>
        </w:tc>
        <w:tc>
          <w:tcPr>
            <w:tcW w:w="676" w:type="dxa"/>
            <w:tcBorders>
              <w:top w:val="nil"/>
              <w:left w:val="nil"/>
              <w:bottom w:val="single" w:color="auto" w:sz="4" w:space="0"/>
              <w:right w:val="single" w:color="auto" w:sz="4" w:space="0"/>
              <w:tl2br w:val="nil"/>
              <w:tr2bl w:val="nil"/>
            </w:tcBorders>
            <w:vAlign w:val="center"/>
          </w:tcPr>
          <w:p w14:paraId="5D16D165">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5</w:t>
            </w:r>
          </w:p>
        </w:tc>
        <w:tc>
          <w:tcPr>
            <w:tcW w:w="546" w:type="dxa"/>
            <w:gridSpan w:val="2"/>
            <w:tcBorders>
              <w:top w:val="nil"/>
              <w:left w:val="nil"/>
              <w:bottom w:val="single" w:color="auto" w:sz="4" w:space="0"/>
              <w:right w:val="single" w:color="auto" w:sz="4" w:space="0"/>
              <w:tl2br w:val="nil"/>
              <w:tr2bl w:val="nil"/>
            </w:tcBorders>
            <w:vAlign w:val="center"/>
          </w:tcPr>
          <w:p w14:paraId="09FE6313">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5</w:t>
            </w:r>
          </w:p>
        </w:tc>
        <w:tc>
          <w:tcPr>
            <w:tcW w:w="1384" w:type="dxa"/>
            <w:gridSpan w:val="2"/>
            <w:tcBorders>
              <w:top w:val="single" w:color="auto" w:sz="4" w:space="0"/>
              <w:left w:val="nil"/>
              <w:bottom w:val="single" w:color="auto" w:sz="4" w:space="0"/>
              <w:right w:val="single" w:color="auto" w:sz="4" w:space="0"/>
              <w:tl2br w:val="nil"/>
              <w:tr2bl w:val="nil"/>
            </w:tcBorders>
            <w:vAlign w:val="center"/>
          </w:tcPr>
          <w:p w14:paraId="6AA32B5B">
            <w:pPr>
              <w:widowControl/>
              <w:spacing w:line="240" w:lineRule="exact"/>
              <w:jc w:val="center"/>
              <w:rPr>
                <w:rFonts w:hint="eastAsia" w:ascii="仿宋_GB2312" w:eastAsia="仿宋_GB2312"/>
                <w:kern w:val="0"/>
                <w:sz w:val="24"/>
              </w:rPr>
            </w:pPr>
          </w:p>
        </w:tc>
      </w:tr>
      <w:tr w14:paraId="6A54AC35">
        <w:tblPrEx>
          <w:tblCellMar>
            <w:top w:w="0" w:type="dxa"/>
            <w:left w:w="0" w:type="dxa"/>
            <w:bottom w:w="0" w:type="dxa"/>
            <w:right w:w="0" w:type="dxa"/>
          </w:tblCellMar>
        </w:tblPrEx>
        <w:trPr>
          <w:gridAfter w:val="1"/>
          <w:wAfter w:w="46" w:type="dxa"/>
          <w:trHeight w:val="1104" w:hRule="atLeast"/>
          <w:jc w:val="center"/>
        </w:trPr>
        <w:tc>
          <w:tcPr>
            <w:tcW w:w="852" w:type="dxa"/>
            <w:vMerge w:val="continue"/>
            <w:tcBorders>
              <w:top w:val="nil"/>
              <w:left w:val="single" w:color="auto" w:sz="4" w:space="0"/>
              <w:bottom w:val="single" w:color="auto" w:sz="4" w:space="0"/>
              <w:right w:val="single" w:color="auto" w:sz="4" w:space="0"/>
              <w:tl2br w:val="nil"/>
              <w:tr2bl w:val="nil"/>
            </w:tcBorders>
            <w:vAlign w:val="center"/>
          </w:tcPr>
          <w:p w14:paraId="5D0884A5">
            <w:pPr>
              <w:rPr>
                <w:rFonts w:hint="eastAsia" w:ascii="仿宋_GB2312" w:eastAsia="仿宋_GB2312"/>
              </w:rPr>
            </w:pPr>
          </w:p>
        </w:tc>
        <w:tc>
          <w:tcPr>
            <w:tcW w:w="786"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00B40D10">
            <w:pPr>
              <w:rPr>
                <w:rFonts w:hint="eastAsia" w:ascii="仿宋_GB2312" w:eastAsia="仿宋_GB2312"/>
              </w:rPr>
            </w:pPr>
          </w:p>
        </w:tc>
        <w:tc>
          <w:tcPr>
            <w:tcW w:w="1465"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772F33FC">
            <w:pPr>
              <w:widowControl/>
              <w:spacing w:line="240" w:lineRule="exact"/>
              <w:jc w:val="center"/>
              <w:rPr>
                <w:rFonts w:hint="eastAsia" w:ascii="仿宋_GB2312" w:eastAsia="仿宋_GB2312"/>
                <w:kern w:val="0"/>
                <w:sz w:val="24"/>
              </w:rPr>
            </w:pPr>
          </w:p>
        </w:tc>
        <w:tc>
          <w:tcPr>
            <w:tcW w:w="1577" w:type="dxa"/>
            <w:gridSpan w:val="2"/>
            <w:tcBorders>
              <w:top w:val="single" w:color="auto" w:sz="4" w:space="0"/>
              <w:left w:val="nil"/>
              <w:bottom w:val="single" w:color="auto" w:sz="4" w:space="0"/>
              <w:right w:val="single" w:color="auto" w:sz="4" w:space="0"/>
              <w:tl2br w:val="nil"/>
              <w:tr2bl w:val="nil"/>
            </w:tcBorders>
            <w:vAlign w:val="center"/>
          </w:tcPr>
          <w:p w14:paraId="07D1099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租车费用</w:t>
            </w:r>
          </w:p>
        </w:tc>
        <w:tc>
          <w:tcPr>
            <w:tcW w:w="634" w:type="dxa"/>
            <w:tcBorders>
              <w:top w:val="nil"/>
              <w:left w:val="nil"/>
              <w:bottom w:val="single" w:color="auto" w:sz="4" w:space="0"/>
              <w:right w:val="single" w:color="auto" w:sz="4" w:space="0"/>
              <w:tl2br w:val="nil"/>
              <w:tr2bl w:val="nil"/>
            </w:tcBorders>
            <w:vAlign w:val="center"/>
          </w:tcPr>
          <w:p w14:paraId="05FB632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1500元/次</w:t>
            </w:r>
          </w:p>
        </w:tc>
        <w:tc>
          <w:tcPr>
            <w:tcW w:w="1295" w:type="dxa"/>
            <w:tcBorders>
              <w:top w:val="nil"/>
              <w:left w:val="nil"/>
              <w:bottom w:val="single" w:color="auto" w:sz="4" w:space="0"/>
              <w:right w:val="single" w:color="auto" w:sz="4" w:space="0"/>
              <w:tl2br w:val="nil"/>
              <w:tr2bl w:val="nil"/>
            </w:tcBorders>
            <w:vAlign w:val="center"/>
          </w:tcPr>
          <w:p w14:paraId="549886D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1500元/次</w:t>
            </w:r>
          </w:p>
        </w:tc>
        <w:tc>
          <w:tcPr>
            <w:tcW w:w="676" w:type="dxa"/>
            <w:tcBorders>
              <w:top w:val="nil"/>
              <w:left w:val="nil"/>
              <w:bottom w:val="single" w:color="auto" w:sz="4" w:space="0"/>
              <w:right w:val="single" w:color="auto" w:sz="4" w:space="0"/>
              <w:tl2br w:val="nil"/>
              <w:tr2bl w:val="nil"/>
            </w:tcBorders>
            <w:vAlign w:val="center"/>
          </w:tcPr>
          <w:p w14:paraId="3DDE12C0">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5</w:t>
            </w:r>
          </w:p>
        </w:tc>
        <w:tc>
          <w:tcPr>
            <w:tcW w:w="546" w:type="dxa"/>
            <w:gridSpan w:val="2"/>
            <w:tcBorders>
              <w:top w:val="nil"/>
              <w:left w:val="nil"/>
              <w:bottom w:val="single" w:color="auto" w:sz="4" w:space="0"/>
              <w:right w:val="single" w:color="auto" w:sz="4" w:space="0"/>
              <w:tl2br w:val="nil"/>
              <w:tr2bl w:val="nil"/>
            </w:tcBorders>
            <w:vAlign w:val="center"/>
          </w:tcPr>
          <w:p w14:paraId="08874F5B">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5</w:t>
            </w:r>
          </w:p>
        </w:tc>
        <w:tc>
          <w:tcPr>
            <w:tcW w:w="1384" w:type="dxa"/>
            <w:gridSpan w:val="2"/>
            <w:tcBorders>
              <w:top w:val="single" w:color="auto" w:sz="4" w:space="0"/>
              <w:left w:val="nil"/>
              <w:bottom w:val="single" w:color="auto" w:sz="4" w:space="0"/>
              <w:right w:val="single" w:color="auto" w:sz="4" w:space="0"/>
              <w:tl2br w:val="nil"/>
              <w:tr2bl w:val="nil"/>
            </w:tcBorders>
            <w:vAlign w:val="center"/>
          </w:tcPr>
          <w:p w14:paraId="4F7FE069">
            <w:pPr>
              <w:widowControl/>
              <w:spacing w:line="240" w:lineRule="exact"/>
              <w:jc w:val="center"/>
              <w:rPr>
                <w:rFonts w:hint="eastAsia" w:ascii="仿宋_GB2312" w:eastAsia="仿宋_GB2312"/>
                <w:kern w:val="0"/>
                <w:sz w:val="24"/>
              </w:rPr>
            </w:pPr>
          </w:p>
        </w:tc>
      </w:tr>
      <w:tr w14:paraId="108BB619">
        <w:tblPrEx>
          <w:tblCellMar>
            <w:top w:w="0" w:type="dxa"/>
            <w:left w:w="0" w:type="dxa"/>
            <w:bottom w:w="0" w:type="dxa"/>
            <w:right w:w="0" w:type="dxa"/>
          </w:tblCellMar>
        </w:tblPrEx>
        <w:trPr>
          <w:gridAfter w:val="1"/>
          <w:wAfter w:w="46" w:type="dxa"/>
          <w:trHeight w:val="974" w:hRule="atLeast"/>
          <w:jc w:val="center"/>
        </w:trPr>
        <w:tc>
          <w:tcPr>
            <w:tcW w:w="852" w:type="dxa"/>
            <w:vMerge w:val="continue"/>
            <w:tcBorders>
              <w:top w:val="nil"/>
              <w:left w:val="single" w:color="auto" w:sz="4" w:space="0"/>
              <w:bottom w:val="single" w:color="auto" w:sz="4" w:space="0"/>
              <w:right w:val="single" w:color="auto" w:sz="4" w:space="0"/>
              <w:tl2br w:val="nil"/>
              <w:tr2bl w:val="nil"/>
            </w:tcBorders>
            <w:vAlign w:val="center"/>
          </w:tcPr>
          <w:p w14:paraId="2E45FBF1">
            <w:pPr>
              <w:rPr>
                <w:rFonts w:hint="eastAsia" w:ascii="仿宋_GB2312" w:eastAsia="仿宋_GB2312"/>
              </w:rPr>
            </w:pPr>
          </w:p>
        </w:tc>
        <w:tc>
          <w:tcPr>
            <w:tcW w:w="786" w:type="dxa"/>
            <w:vMerge w:val="continue"/>
            <w:tcBorders>
              <w:top w:val="single" w:color="auto" w:sz="4" w:space="0"/>
              <w:left w:val="single" w:color="auto" w:sz="4" w:space="0"/>
              <w:right w:val="single" w:color="auto" w:sz="4" w:space="0"/>
              <w:tl2br w:val="nil"/>
              <w:tr2bl w:val="nil"/>
            </w:tcBorders>
            <w:vAlign w:val="center"/>
          </w:tcPr>
          <w:p w14:paraId="172032D4">
            <w:pPr>
              <w:jc w:val="center"/>
              <w:rPr>
                <w:rFonts w:hint="eastAsia" w:ascii="仿宋_GB2312" w:eastAsia="仿宋_GB2312"/>
                <w:kern w:val="0"/>
                <w:sz w:val="24"/>
                <w:lang w:eastAsia="zh-CN"/>
              </w:rPr>
            </w:pPr>
          </w:p>
        </w:tc>
        <w:tc>
          <w:tcPr>
            <w:tcW w:w="1465" w:type="dxa"/>
            <w:tcBorders>
              <w:top w:val="single" w:color="auto" w:sz="4" w:space="0"/>
              <w:left w:val="single" w:color="auto" w:sz="4" w:space="0"/>
              <w:right w:val="single" w:color="auto" w:sz="4" w:space="0"/>
              <w:tl2br w:val="nil"/>
              <w:tr2bl w:val="nil"/>
            </w:tcBorders>
            <w:vAlign w:val="center"/>
          </w:tcPr>
          <w:p w14:paraId="51EC698E">
            <w:pPr>
              <w:widowControl/>
              <w:tabs>
                <w:tab w:val="left" w:pos="435"/>
              </w:tabs>
              <w:spacing w:line="240" w:lineRule="exact"/>
              <w:jc w:val="left"/>
              <w:rPr>
                <w:rFonts w:hint="eastAsia" w:ascii="仿宋_GB2312" w:eastAsia="仿宋_GB2312"/>
                <w:kern w:val="0"/>
                <w:sz w:val="24"/>
                <w:lang w:eastAsia="zh-CN"/>
              </w:rPr>
            </w:pPr>
            <w:r>
              <w:rPr>
                <w:rFonts w:hint="eastAsia" w:ascii="仿宋_GB2312" w:eastAsia="仿宋_GB2312"/>
                <w:kern w:val="0"/>
                <w:sz w:val="24"/>
                <w:lang w:eastAsia="zh-CN"/>
              </w:rPr>
              <w:t>生态效益指标</w:t>
            </w:r>
          </w:p>
        </w:tc>
        <w:tc>
          <w:tcPr>
            <w:tcW w:w="1577" w:type="dxa"/>
            <w:gridSpan w:val="2"/>
            <w:tcBorders>
              <w:top w:val="single" w:color="auto" w:sz="4" w:space="0"/>
              <w:left w:val="nil"/>
              <w:bottom w:val="single" w:color="auto" w:sz="4" w:space="0"/>
              <w:right w:val="single" w:color="auto" w:sz="4" w:space="0"/>
              <w:tl2br w:val="nil"/>
              <w:tr2bl w:val="nil"/>
            </w:tcBorders>
            <w:vAlign w:val="center"/>
          </w:tcPr>
          <w:p w14:paraId="14D2BCF4">
            <w:pPr>
              <w:keepNext w:val="0"/>
              <w:keepLines w:val="0"/>
              <w:widowControl/>
              <w:suppressLineNumbers w:val="0"/>
              <w:jc w:val="left"/>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推动生态文明建设</w:t>
            </w:r>
          </w:p>
        </w:tc>
        <w:tc>
          <w:tcPr>
            <w:tcW w:w="634" w:type="dxa"/>
            <w:tcBorders>
              <w:top w:val="nil"/>
              <w:left w:val="nil"/>
              <w:bottom w:val="single" w:color="auto" w:sz="4" w:space="0"/>
              <w:right w:val="single" w:color="auto" w:sz="4" w:space="0"/>
              <w:tl2br w:val="nil"/>
              <w:tr2bl w:val="nil"/>
            </w:tcBorders>
            <w:vAlign w:val="center"/>
          </w:tcPr>
          <w:p w14:paraId="264F85D0">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提高</w:t>
            </w:r>
          </w:p>
        </w:tc>
        <w:tc>
          <w:tcPr>
            <w:tcW w:w="1295" w:type="dxa"/>
            <w:tcBorders>
              <w:top w:val="nil"/>
              <w:left w:val="nil"/>
              <w:bottom w:val="single" w:color="auto" w:sz="4" w:space="0"/>
              <w:right w:val="single" w:color="auto" w:sz="4" w:space="0"/>
              <w:tl2br w:val="nil"/>
              <w:tr2bl w:val="nil"/>
            </w:tcBorders>
            <w:vAlign w:val="center"/>
          </w:tcPr>
          <w:p w14:paraId="0727FF3F">
            <w:pPr>
              <w:widowControl/>
              <w:spacing w:line="240" w:lineRule="exact"/>
              <w:jc w:val="center"/>
              <w:rPr>
                <w:rFonts w:hint="eastAsia" w:ascii="仿宋_GB2312" w:eastAsia="仿宋_GB2312"/>
                <w:kern w:val="0"/>
                <w:sz w:val="24"/>
                <w:lang w:eastAsia="zh-CN"/>
              </w:rPr>
            </w:pPr>
            <w:r>
              <w:rPr>
                <w:rFonts w:hint="eastAsia" w:ascii="仿宋_GB2312" w:eastAsia="仿宋_GB2312"/>
                <w:kern w:val="0"/>
                <w:sz w:val="24"/>
                <w:lang w:eastAsia="zh-CN"/>
              </w:rPr>
              <w:t>居民生活环境明显改善</w:t>
            </w:r>
          </w:p>
        </w:tc>
        <w:tc>
          <w:tcPr>
            <w:tcW w:w="676" w:type="dxa"/>
            <w:tcBorders>
              <w:top w:val="nil"/>
              <w:left w:val="nil"/>
              <w:bottom w:val="single" w:color="auto" w:sz="4" w:space="0"/>
              <w:right w:val="single" w:color="auto" w:sz="4" w:space="0"/>
              <w:tl2br w:val="nil"/>
              <w:tr2bl w:val="nil"/>
            </w:tcBorders>
            <w:vAlign w:val="center"/>
          </w:tcPr>
          <w:p w14:paraId="175AF35A">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10</w:t>
            </w:r>
          </w:p>
        </w:tc>
        <w:tc>
          <w:tcPr>
            <w:tcW w:w="546" w:type="dxa"/>
            <w:gridSpan w:val="2"/>
            <w:tcBorders>
              <w:top w:val="nil"/>
              <w:left w:val="nil"/>
              <w:bottom w:val="single" w:color="auto" w:sz="4" w:space="0"/>
              <w:right w:val="single" w:color="auto" w:sz="4" w:space="0"/>
              <w:tl2br w:val="nil"/>
              <w:tr2bl w:val="nil"/>
            </w:tcBorders>
            <w:vAlign w:val="center"/>
          </w:tcPr>
          <w:p w14:paraId="165D6A3F">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10</w:t>
            </w:r>
          </w:p>
        </w:tc>
        <w:tc>
          <w:tcPr>
            <w:tcW w:w="1384" w:type="dxa"/>
            <w:gridSpan w:val="2"/>
            <w:tcBorders>
              <w:top w:val="single" w:color="auto" w:sz="4" w:space="0"/>
              <w:left w:val="nil"/>
              <w:bottom w:val="single" w:color="auto" w:sz="4" w:space="0"/>
              <w:right w:val="single" w:color="auto" w:sz="4" w:space="0"/>
              <w:tl2br w:val="nil"/>
              <w:tr2bl w:val="nil"/>
            </w:tcBorders>
            <w:vAlign w:val="center"/>
          </w:tcPr>
          <w:p w14:paraId="640BA7FA">
            <w:pPr>
              <w:widowControl/>
              <w:spacing w:line="240" w:lineRule="exact"/>
              <w:jc w:val="center"/>
              <w:rPr>
                <w:rFonts w:hint="eastAsia" w:ascii="仿宋_GB2312" w:eastAsia="仿宋_GB2312"/>
                <w:kern w:val="0"/>
                <w:sz w:val="24"/>
              </w:rPr>
            </w:pPr>
          </w:p>
        </w:tc>
      </w:tr>
      <w:tr w14:paraId="22821F3A">
        <w:tblPrEx>
          <w:tblCellMar>
            <w:top w:w="0" w:type="dxa"/>
            <w:left w:w="0" w:type="dxa"/>
            <w:bottom w:w="0" w:type="dxa"/>
            <w:right w:w="0" w:type="dxa"/>
          </w:tblCellMar>
        </w:tblPrEx>
        <w:trPr>
          <w:gridAfter w:val="1"/>
          <w:wAfter w:w="46" w:type="dxa"/>
          <w:trHeight w:val="974" w:hRule="atLeast"/>
          <w:jc w:val="center"/>
        </w:trPr>
        <w:tc>
          <w:tcPr>
            <w:tcW w:w="852" w:type="dxa"/>
            <w:vMerge w:val="continue"/>
            <w:tcBorders>
              <w:top w:val="nil"/>
              <w:left w:val="single" w:color="auto" w:sz="4" w:space="0"/>
              <w:bottom w:val="single" w:color="auto" w:sz="4" w:space="0"/>
              <w:right w:val="single" w:color="auto" w:sz="4" w:space="0"/>
              <w:tl2br w:val="nil"/>
              <w:tr2bl w:val="nil"/>
            </w:tcBorders>
            <w:vAlign w:val="center"/>
          </w:tcPr>
          <w:p w14:paraId="116897F1">
            <w:pPr>
              <w:rPr>
                <w:rFonts w:hint="eastAsia" w:ascii="仿宋_GB2312" w:eastAsia="仿宋_GB2312"/>
              </w:rPr>
            </w:pPr>
          </w:p>
        </w:tc>
        <w:tc>
          <w:tcPr>
            <w:tcW w:w="786" w:type="dxa"/>
            <w:vMerge w:val="continue"/>
            <w:tcBorders>
              <w:left w:val="single" w:color="auto" w:sz="4" w:space="0"/>
              <w:right w:val="single" w:color="auto" w:sz="4" w:space="0"/>
              <w:tl2br w:val="nil"/>
              <w:tr2bl w:val="nil"/>
            </w:tcBorders>
            <w:vAlign w:val="center"/>
          </w:tcPr>
          <w:p w14:paraId="3E9D85C1">
            <w:pPr>
              <w:jc w:val="center"/>
              <w:rPr>
                <w:rFonts w:hint="eastAsia" w:ascii="仿宋_GB2312" w:eastAsia="仿宋_GB2312"/>
                <w:lang w:eastAsia="zh-CN"/>
              </w:rPr>
            </w:pPr>
          </w:p>
        </w:tc>
        <w:tc>
          <w:tcPr>
            <w:tcW w:w="1465" w:type="dxa"/>
            <w:tcBorders>
              <w:top w:val="nil"/>
              <w:left w:val="single" w:color="auto" w:sz="4" w:space="0"/>
              <w:right w:val="single" w:color="auto" w:sz="4" w:space="0"/>
              <w:tl2br w:val="nil"/>
              <w:tr2bl w:val="nil"/>
            </w:tcBorders>
            <w:vAlign w:val="center"/>
          </w:tcPr>
          <w:p w14:paraId="4C307A9B">
            <w:pPr>
              <w:widowControl/>
              <w:spacing w:line="240" w:lineRule="exact"/>
              <w:jc w:val="center"/>
              <w:rPr>
                <w:rFonts w:hint="eastAsia" w:ascii="仿宋_GB2312" w:eastAsia="仿宋_GB2312"/>
                <w:kern w:val="0"/>
                <w:sz w:val="24"/>
              </w:rPr>
            </w:pPr>
            <w:r>
              <w:rPr>
                <w:rFonts w:hint="eastAsia" w:ascii="仿宋_GB2312" w:eastAsia="仿宋_GB2312"/>
                <w:kern w:val="0"/>
                <w:sz w:val="24"/>
              </w:rPr>
              <w:t>社会效益</w:t>
            </w:r>
          </w:p>
          <w:p w14:paraId="27C55281">
            <w:pPr>
              <w:widowControl/>
              <w:spacing w:line="240" w:lineRule="exact"/>
              <w:jc w:val="center"/>
              <w:rPr>
                <w:rFonts w:hint="eastAsia" w:ascii="仿宋_GB2312" w:eastAsia="仿宋_GB2312"/>
                <w:kern w:val="0"/>
                <w:sz w:val="24"/>
              </w:rPr>
            </w:pPr>
            <w:r>
              <w:rPr>
                <w:rFonts w:hint="eastAsia" w:ascii="仿宋_GB2312" w:eastAsia="仿宋_GB2312"/>
                <w:kern w:val="0"/>
                <w:sz w:val="24"/>
              </w:rPr>
              <w:t>指标</w:t>
            </w:r>
          </w:p>
        </w:tc>
        <w:tc>
          <w:tcPr>
            <w:tcW w:w="1577" w:type="dxa"/>
            <w:gridSpan w:val="2"/>
            <w:tcBorders>
              <w:top w:val="single" w:color="auto" w:sz="4" w:space="0"/>
              <w:left w:val="nil"/>
              <w:bottom w:val="single" w:color="auto" w:sz="4" w:space="0"/>
              <w:right w:val="single" w:color="auto" w:sz="4" w:space="0"/>
              <w:tl2br w:val="nil"/>
              <w:tr2bl w:val="nil"/>
            </w:tcBorders>
            <w:vAlign w:val="center"/>
          </w:tcPr>
          <w:p w14:paraId="347FD391">
            <w:pPr>
              <w:keepNext w:val="0"/>
              <w:keepLines w:val="0"/>
              <w:widowControl/>
              <w:suppressLineNumbers w:val="0"/>
              <w:jc w:val="left"/>
              <w:textAlignment w:val="center"/>
              <w:rPr>
                <w:rFonts w:hint="eastAsia" w:ascii="仿宋_GB2312" w:eastAsia="仿宋_GB2312"/>
                <w:color w:val="000000"/>
                <w:kern w:val="0"/>
                <w:sz w:val="24"/>
                <w:lang w:eastAsia="zh-CN"/>
              </w:rPr>
            </w:pPr>
            <w:r>
              <w:rPr>
                <w:rFonts w:hint="eastAsia" w:ascii="宋体" w:hAnsi="宋体" w:cs="宋体"/>
                <w:i w:val="0"/>
                <w:iCs w:val="0"/>
                <w:color w:val="000000"/>
                <w:kern w:val="0"/>
                <w:sz w:val="24"/>
                <w:szCs w:val="24"/>
                <w:u w:val="none"/>
                <w:lang w:val="en-US" w:eastAsia="zh-CN" w:bidi="ar"/>
              </w:rPr>
              <w:t>保障民生</w:t>
            </w:r>
          </w:p>
        </w:tc>
        <w:tc>
          <w:tcPr>
            <w:tcW w:w="634" w:type="dxa"/>
            <w:tcBorders>
              <w:top w:val="nil"/>
              <w:left w:val="nil"/>
              <w:bottom w:val="single" w:color="auto" w:sz="4" w:space="0"/>
              <w:right w:val="single" w:color="auto" w:sz="4" w:space="0"/>
              <w:tl2br w:val="nil"/>
              <w:tr2bl w:val="nil"/>
            </w:tcBorders>
            <w:vAlign w:val="center"/>
          </w:tcPr>
          <w:p w14:paraId="5AE35AA3">
            <w:pPr>
              <w:keepNext w:val="0"/>
              <w:keepLines w:val="0"/>
              <w:widowControl/>
              <w:suppressLineNumbers w:val="0"/>
              <w:jc w:val="center"/>
              <w:textAlignment w:val="center"/>
              <w:rPr>
                <w:rFonts w:hint="eastAsia" w:ascii="仿宋_GB2312" w:eastAsia="仿宋_GB2312"/>
                <w:kern w:val="0"/>
                <w:sz w:val="24"/>
                <w:lang w:eastAsia="zh-CN"/>
              </w:rPr>
            </w:pPr>
            <w:r>
              <w:rPr>
                <w:rFonts w:hint="eastAsia" w:ascii="宋体" w:hAnsi="宋体" w:eastAsia="宋体" w:cs="宋体"/>
                <w:i w:val="0"/>
                <w:iCs w:val="0"/>
                <w:color w:val="000000"/>
                <w:kern w:val="0"/>
                <w:sz w:val="24"/>
                <w:szCs w:val="24"/>
                <w:u w:val="none"/>
                <w:lang w:val="en-US" w:eastAsia="zh-CN" w:bidi="ar"/>
              </w:rPr>
              <w:t>提高</w:t>
            </w:r>
          </w:p>
        </w:tc>
        <w:tc>
          <w:tcPr>
            <w:tcW w:w="1295" w:type="dxa"/>
            <w:tcBorders>
              <w:top w:val="nil"/>
              <w:left w:val="nil"/>
              <w:bottom w:val="single" w:color="auto" w:sz="4" w:space="0"/>
              <w:right w:val="single" w:color="auto" w:sz="4" w:space="0"/>
              <w:tl2br w:val="nil"/>
              <w:tr2bl w:val="nil"/>
            </w:tcBorders>
            <w:vAlign w:val="center"/>
          </w:tcPr>
          <w:p w14:paraId="0C1A4404">
            <w:pPr>
              <w:widowControl/>
              <w:spacing w:line="240" w:lineRule="exact"/>
              <w:jc w:val="center"/>
              <w:rPr>
                <w:rFonts w:hint="eastAsia" w:ascii="仿宋_GB2312" w:eastAsia="仿宋_GB2312"/>
                <w:kern w:val="0"/>
                <w:sz w:val="24"/>
                <w:lang w:eastAsia="zh-CN"/>
              </w:rPr>
            </w:pPr>
            <w:r>
              <w:rPr>
                <w:rFonts w:hint="eastAsia" w:ascii="仿宋_GB2312" w:eastAsia="仿宋_GB2312"/>
                <w:kern w:val="0"/>
                <w:sz w:val="24"/>
                <w:lang w:eastAsia="zh-CN"/>
              </w:rPr>
              <w:t>提高居民生活水平</w:t>
            </w:r>
          </w:p>
        </w:tc>
        <w:tc>
          <w:tcPr>
            <w:tcW w:w="676" w:type="dxa"/>
            <w:tcBorders>
              <w:top w:val="nil"/>
              <w:left w:val="nil"/>
              <w:bottom w:val="single" w:color="auto" w:sz="4" w:space="0"/>
              <w:right w:val="single" w:color="auto" w:sz="4" w:space="0"/>
              <w:tl2br w:val="nil"/>
              <w:tr2bl w:val="nil"/>
            </w:tcBorders>
            <w:vAlign w:val="center"/>
          </w:tcPr>
          <w:p w14:paraId="34460621">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10</w:t>
            </w:r>
          </w:p>
        </w:tc>
        <w:tc>
          <w:tcPr>
            <w:tcW w:w="546" w:type="dxa"/>
            <w:gridSpan w:val="2"/>
            <w:tcBorders>
              <w:top w:val="nil"/>
              <w:left w:val="nil"/>
              <w:bottom w:val="single" w:color="auto" w:sz="4" w:space="0"/>
              <w:right w:val="single" w:color="auto" w:sz="4" w:space="0"/>
              <w:tl2br w:val="nil"/>
              <w:tr2bl w:val="nil"/>
            </w:tcBorders>
            <w:vAlign w:val="center"/>
          </w:tcPr>
          <w:p w14:paraId="52DCFF5B">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10</w:t>
            </w:r>
          </w:p>
        </w:tc>
        <w:tc>
          <w:tcPr>
            <w:tcW w:w="1384" w:type="dxa"/>
            <w:gridSpan w:val="2"/>
            <w:tcBorders>
              <w:top w:val="single" w:color="auto" w:sz="4" w:space="0"/>
              <w:left w:val="nil"/>
              <w:bottom w:val="single" w:color="auto" w:sz="4" w:space="0"/>
              <w:right w:val="single" w:color="auto" w:sz="4" w:space="0"/>
              <w:tl2br w:val="nil"/>
              <w:tr2bl w:val="nil"/>
            </w:tcBorders>
            <w:vAlign w:val="center"/>
          </w:tcPr>
          <w:p w14:paraId="1DF639DD">
            <w:pPr>
              <w:widowControl/>
              <w:spacing w:line="240" w:lineRule="exact"/>
              <w:jc w:val="center"/>
              <w:rPr>
                <w:rFonts w:hint="eastAsia" w:ascii="仿宋_GB2312" w:eastAsia="仿宋_GB2312"/>
                <w:kern w:val="0"/>
                <w:sz w:val="24"/>
              </w:rPr>
            </w:pPr>
          </w:p>
        </w:tc>
      </w:tr>
      <w:tr w14:paraId="42FAA049">
        <w:tblPrEx>
          <w:tblCellMar>
            <w:top w:w="0" w:type="dxa"/>
            <w:left w:w="0" w:type="dxa"/>
            <w:bottom w:w="0" w:type="dxa"/>
            <w:right w:w="0" w:type="dxa"/>
          </w:tblCellMar>
        </w:tblPrEx>
        <w:trPr>
          <w:gridAfter w:val="1"/>
          <w:wAfter w:w="46" w:type="dxa"/>
          <w:trHeight w:val="860" w:hRule="atLeast"/>
          <w:jc w:val="center"/>
        </w:trPr>
        <w:tc>
          <w:tcPr>
            <w:tcW w:w="852" w:type="dxa"/>
            <w:vMerge w:val="continue"/>
            <w:tcBorders>
              <w:top w:val="nil"/>
              <w:left w:val="single" w:color="auto" w:sz="4" w:space="0"/>
              <w:bottom w:val="single" w:color="auto" w:sz="4" w:space="0"/>
              <w:right w:val="single" w:color="auto" w:sz="4" w:space="0"/>
              <w:tl2br w:val="nil"/>
              <w:tr2bl w:val="nil"/>
            </w:tcBorders>
            <w:vAlign w:val="center"/>
          </w:tcPr>
          <w:p w14:paraId="1614B816">
            <w:pPr>
              <w:rPr>
                <w:rFonts w:hint="eastAsia" w:ascii="仿宋_GB2312" w:eastAsia="仿宋_GB2312"/>
              </w:rPr>
            </w:pPr>
          </w:p>
        </w:tc>
        <w:tc>
          <w:tcPr>
            <w:tcW w:w="786" w:type="dxa"/>
            <w:vMerge w:val="continue"/>
            <w:tcBorders>
              <w:left w:val="single" w:color="auto" w:sz="4" w:space="0"/>
              <w:bottom w:val="single" w:color="auto" w:sz="4" w:space="0"/>
              <w:right w:val="single" w:color="auto" w:sz="4" w:space="0"/>
              <w:tl2br w:val="nil"/>
              <w:tr2bl w:val="nil"/>
            </w:tcBorders>
            <w:vAlign w:val="center"/>
          </w:tcPr>
          <w:p w14:paraId="38CCDFEE">
            <w:pPr>
              <w:rPr>
                <w:rFonts w:hint="eastAsia" w:ascii="仿宋_GB2312" w:eastAsia="仿宋_GB2312"/>
              </w:rPr>
            </w:pPr>
          </w:p>
        </w:tc>
        <w:tc>
          <w:tcPr>
            <w:tcW w:w="1465" w:type="dxa"/>
            <w:tcBorders>
              <w:top w:val="single" w:color="auto" w:sz="4" w:space="0"/>
              <w:left w:val="single" w:color="auto" w:sz="4" w:space="0"/>
              <w:bottom w:val="single" w:color="auto" w:sz="4" w:space="0"/>
              <w:right w:val="single" w:color="auto" w:sz="4" w:space="0"/>
              <w:tl2br w:val="nil"/>
              <w:tr2bl w:val="nil"/>
            </w:tcBorders>
            <w:vAlign w:val="center"/>
          </w:tcPr>
          <w:p w14:paraId="32D25D9C">
            <w:pPr>
              <w:widowControl/>
              <w:spacing w:line="240" w:lineRule="exact"/>
              <w:jc w:val="center"/>
              <w:rPr>
                <w:rFonts w:hint="eastAsia" w:ascii="仿宋_GB2312" w:eastAsia="仿宋_GB2312"/>
                <w:kern w:val="0"/>
                <w:sz w:val="24"/>
              </w:rPr>
            </w:pPr>
            <w:r>
              <w:rPr>
                <w:rFonts w:hint="eastAsia" w:ascii="仿宋_GB2312" w:eastAsia="仿宋_GB2312"/>
                <w:kern w:val="0"/>
                <w:sz w:val="24"/>
              </w:rPr>
              <w:t>可持续影响</w:t>
            </w:r>
          </w:p>
          <w:p w14:paraId="0EFB074F">
            <w:pPr>
              <w:widowControl/>
              <w:spacing w:line="240" w:lineRule="exact"/>
              <w:jc w:val="center"/>
              <w:rPr>
                <w:rFonts w:hint="eastAsia" w:ascii="仿宋_GB2312" w:eastAsia="仿宋_GB2312"/>
                <w:kern w:val="0"/>
                <w:sz w:val="24"/>
              </w:rPr>
            </w:pPr>
            <w:r>
              <w:rPr>
                <w:rFonts w:hint="eastAsia" w:ascii="仿宋_GB2312" w:eastAsia="仿宋_GB2312"/>
                <w:kern w:val="0"/>
                <w:sz w:val="24"/>
              </w:rPr>
              <w:t>指标</w:t>
            </w:r>
          </w:p>
        </w:tc>
        <w:tc>
          <w:tcPr>
            <w:tcW w:w="1577" w:type="dxa"/>
            <w:gridSpan w:val="2"/>
            <w:tcBorders>
              <w:top w:val="single" w:color="auto" w:sz="4" w:space="0"/>
              <w:left w:val="nil"/>
              <w:bottom w:val="single" w:color="auto" w:sz="4" w:space="0"/>
              <w:right w:val="single" w:color="auto" w:sz="4" w:space="0"/>
              <w:tl2br w:val="nil"/>
              <w:tr2bl w:val="nil"/>
            </w:tcBorders>
            <w:vAlign w:val="center"/>
          </w:tcPr>
          <w:p w14:paraId="631DEB60">
            <w:pPr>
              <w:widowControl/>
              <w:spacing w:line="240" w:lineRule="exact"/>
              <w:jc w:val="left"/>
              <w:rPr>
                <w:rFonts w:hint="eastAsia" w:ascii="仿宋_GB2312" w:eastAsia="仿宋_GB2312"/>
                <w:color w:val="000000"/>
                <w:kern w:val="0"/>
                <w:sz w:val="24"/>
                <w:lang w:eastAsia="zh-CN"/>
              </w:rPr>
            </w:pPr>
            <w:r>
              <w:rPr>
                <w:rFonts w:hint="eastAsia" w:ascii="仿宋_GB2312" w:eastAsia="仿宋_GB2312"/>
                <w:color w:val="000000"/>
                <w:kern w:val="0"/>
                <w:sz w:val="24"/>
                <w:lang w:eastAsia="zh-CN"/>
              </w:rPr>
              <w:t>持续健康发展</w:t>
            </w:r>
          </w:p>
        </w:tc>
        <w:tc>
          <w:tcPr>
            <w:tcW w:w="634" w:type="dxa"/>
            <w:tcBorders>
              <w:top w:val="single" w:color="auto" w:sz="4" w:space="0"/>
              <w:left w:val="nil"/>
              <w:bottom w:val="single" w:color="auto" w:sz="4" w:space="0"/>
              <w:right w:val="single" w:color="auto" w:sz="4" w:space="0"/>
              <w:tl2br w:val="nil"/>
              <w:tr2bl w:val="nil"/>
            </w:tcBorders>
            <w:vAlign w:val="center"/>
          </w:tcPr>
          <w:p w14:paraId="6D9F7894">
            <w:pPr>
              <w:widowControl/>
              <w:spacing w:line="240" w:lineRule="exact"/>
              <w:jc w:val="center"/>
              <w:rPr>
                <w:rFonts w:hint="eastAsia" w:ascii="仿宋_GB2312" w:eastAsia="仿宋_GB2312"/>
                <w:kern w:val="0"/>
                <w:sz w:val="24"/>
                <w:lang w:eastAsia="zh-CN"/>
              </w:rPr>
            </w:pPr>
            <w:r>
              <w:rPr>
                <w:rFonts w:hint="eastAsia" w:ascii="仿宋_GB2312" w:eastAsia="仿宋_GB2312"/>
                <w:kern w:val="0"/>
                <w:sz w:val="24"/>
                <w:lang w:eastAsia="zh-CN"/>
              </w:rPr>
              <w:t>定性</w:t>
            </w:r>
          </w:p>
        </w:tc>
        <w:tc>
          <w:tcPr>
            <w:tcW w:w="1295" w:type="dxa"/>
            <w:tcBorders>
              <w:top w:val="single" w:color="auto" w:sz="4" w:space="0"/>
              <w:left w:val="nil"/>
              <w:bottom w:val="single" w:color="auto" w:sz="4" w:space="0"/>
              <w:right w:val="single" w:color="auto" w:sz="4" w:space="0"/>
              <w:tl2br w:val="nil"/>
              <w:tr2bl w:val="nil"/>
            </w:tcBorders>
            <w:vAlign w:val="center"/>
          </w:tcPr>
          <w:p w14:paraId="34712AA6">
            <w:pPr>
              <w:widowControl/>
              <w:spacing w:line="240" w:lineRule="exact"/>
              <w:jc w:val="center"/>
              <w:rPr>
                <w:rFonts w:hint="eastAsia" w:ascii="仿宋_GB2312" w:eastAsia="仿宋_GB2312"/>
                <w:kern w:val="0"/>
                <w:sz w:val="24"/>
                <w:lang w:eastAsia="zh-CN"/>
              </w:rPr>
            </w:pPr>
            <w:r>
              <w:rPr>
                <w:rFonts w:hint="eastAsia" w:ascii="仿宋_GB2312" w:eastAsia="仿宋_GB2312"/>
                <w:kern w:val="0"/>
                <w:sz w:val="24"/>
                <w:lang w:eastAsia="zh-CN"/>
              </w:rPr>
              <w:t>持续影响</w:t>
            </w:r>
          </w:p>
        </w:tc>
        <w:tc>
          <w:tcPr>
            <w:tcW w:w="676" w:type="dxa"/>
            <w:tcBorders>
              <w:top w:val="single" w:color="auto" w:sz="4" w:space="0"/>
              <w:left w:val="nil"/>
              <w:bottom w:val="single" w:color="auto" w:sz="4" w:space="0"/>
              <w:right w:val="single" w:color="auto" w:sz="4" w:space="0"/>
              <w:tl2br w:val="nil"/>
              <w:tr2bl w:val="nil"/>
            </w:tcBorders>
            <w:vAlign w:val="center"/>
          </w:tcPr>
          <w:p w14:paraId="7A78C7E9">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10</w:t>
            </w:r>
          </w:p>
        </w:tc>
        <w:tc>
          <w:tcPr>
            <w:tcW w:w="546" w:type="dxa"/>
            <w:gridSpan w:val="2"/>
            <w:tcBorders>
              <w:top w:val="single" w:color="auto" w:sz="4" w:space="0"/>
              <w:left w:val="nil"/>
              <w:bottom w:val="single" w:color="auto" w:sz="4" w:space="0"/>
              <w:right w:val="single" w:color="auto" w:sz="4" w:space="0"/>
              <w:tl2br w:val="nil"/>
              <w:tr2bl w:val="nil"/>
            </w:tcBorders>
            <w:vAlign w:val="center"/>
          </w:tcPr>
          <w:p w14:paraId="308CD3FB">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10</w:t>
            </w:r>
          </w:p>
        </w:tc>
        <w:tc>
          <w:tcPr>
            <w:tcW w:w="1384" w:type="dxa"/>
            <w:gridSpan w:val="2"/>
            <w:tcBorders>
              <w:top w:val="single" w:color="auto" w:sz="4" w:space="0"/>
              <w:left w:val="nil"/>
              <w:bottom w:val="single" w:color="auto" w:sz="4" w:space="0"/>
              <w:right w:val="single" w:color="auto" w:sz="4" w:space="0"/>
              <w:tl2br w:val="nil"/>
              <w:tr2bl w:val="nil"/>
            </w:tcBorders>
            <w:vAlign w:val="center"/>
          </w:tcPr>
          <w:p w14:paraId="347F9B78">
            <w:pPr>
              <w:widowControl/>
              <w:spacing w:line="240" w:lineRule="exact"/>
              <w:jc w:val="center"/>
              <w:rPr>
                <w:rFonts w:hint="eastAsia" w:ascii="仿宋_GB2312" w:eastAsia="仿宋_GB2312"/>
                <w:kern w:val="0"/>
                <w:sz w:val="24"/>
              </w:rPr>
            </w:pPr>
          </w:p>
        </w:tc>
      </w:tr>
      <w:tr w14:paraId="19165532">
        <w:tblPrEx>
          <w:tblCellMar>
            <w:top w:w="0" w:type="dxa"/>
            <w:left w:w="0" w:type="dxa"/>
            <w:bottom w:w="0" w:type="dxa"/>
            <w:right w:w="0" w:type="dxa"/>
          </w:tblCellMar>
        </w:tblPrEx>
        <w:trPr>
          <w:gridAfter w:val="1"/>
          <w:wAfter w:w="46" w:type="dxa"/>
          <w:trHeight w:val="950" w:hRule="atLeast"/>
          <w:jc w:val="center"/>
        </w:trPr>
        <w:tc>
          <w:tcPr>
            <w:tcW w:w="852" w:type="dxa"/>
            <w:vMerge w:val="continue"/>
            <w:tcBorders>
              <w:top w:val="nil"/>
              <w:left w:val="single" w:color="auto" w:sz="4" w:space="0"/>
              <w:bottom w:val="single" w:color="auto" w:sz="4" w:space="0"/>
              <w:right w:val="single" w:color="auto" w:sz="4" w:space="0"/>
              <w:tl2br w:val="nil"/>
              <w:tr2bl w:val="nil"/>
            </w:tcBorders>
            <w:vAlign w:val="center"/>
          </w:tcPr>
          <w:p w14:paraId="35C37919">
            <w:pPr>
              <w:rPr>
                <w:rFonts w:hint="eastAsia" w:ascii="仿宋_GB2312" w:eastAsia="仿宋_GB2312"/>
              </w:rPr>
            </w:pPr>
          </w:p>
        </w:tc>
        <w:tc>
          <w:tcPr>
            <w:tcW w:w="786" w:type="dxa"/>
            <w:tcBorders>
              <w:top w:val="nil"/>
              <w:left w:val="single" w:color="auto" w:sz="4" w:space="0"/>
              <w:bottom w:val="nil"/>
              <w:right w:val="single" w:color="auto" w:sz="4" w:space="0"/>
              <w:tl2br w:val="nil"/>
              <w:tr2bl w:val="nil"/>
            </w:tcBorders>
            <w:vAlign w:val="center"/>
          </w:tcPr>
          <w:p w14:paraId="0ED2B528">
            <w:pPr>
              <w:widowControl/>
              <w:spacing w:line="240" w:lineRule="exact"/>
              <w:jc w:val="center"/>
              <w:rPr>
                <w:rFonts w:hint="eastAsia" w:ascii="仿宋_GB2312" w:eastAsia="仿宋_GB2312"/>
                <w:kern w:val="0"/>
                <w:sz w:val="24"/>
              </w:rPr>
            </w:pPr>
            <w:r>
              <w:rPr>
                <w:rFonts w:hint="eastAsia" w:ascii="仿宋_GB2312" w:eastAsia="仿宋_GB2312"/>
                <w:kern w:val="0"/>
                <w:sz w:val="24"/>
              </w:rPr>
              <w:t>满意度</w:t>
            </w:r>
          </w:p>
          <w:p w14:paraId="6A6B83FC">
            <w:pPr>
              <w:widowControl/>
              <w:spacing w:line="240" w:lineRule="exact"/>
              <w:jc w:val="center"/>
              <w:rPr>
                <w:rFonts w:hint="eastAsia" w:ascii="仿宋_GB2312" w:eastAsia="仿宋_GB2312"/>
                <w:kern w:val="0"/>
                <w:sz w:val="24"/>
              </w:rPr>
            </w:pPr>
            <w:r>
              <w:rPr>
                <w:rFonts w:hint="eastAsia" w:ascii="仿宋_GB2312" w:eastAsia="仿宋_GB2312"/>
                <w:kern w:val="0"/>
                <w:sz w:val="24"/>
              </w:rPr>
              <w:t>指标</w:t>
            </w:r>
          </w:p>
        </w:tc>
        <w:tc>
          <w:tcPr>
            <w:tcW w:w="1465" w:type="dxa"/>
            <w:tcBorders>
              <w:top w:val="nil"/>
              <w:left w:val="single" w:color="auto" w:sz="4" w:space="0"/>
              <w:bottom w:val="single" w:color="auto" w:sz="4" w:space="0"/>
              <w:right w:val="single" w:color="auto" w:sz="4" w:space="0"/>
              <w:tl2br w:val="nil"/>
              <w:tr2bl w:val="nil"/>
            </w:tcBorders>
            <w:vAlign w:val="center"/>
          </w:tcPr>
          <w:p w14:paraId="6DB4486C">
            <w:pPr>
              <w:widowControl/>
              <w:spacing w:line="240" w:lineRule="exact"/>
              <w:jc w:val="center"/>
              <w:rPr>
                <w:rFonts w:hint="eastAsia" w:ascii="仿宋_GB2312" w:eastAsia="仿宋_GB2312"/>
                <w:kern w:val="0"/>
                <w:sz w:val="24"/>
              </w:rPr>
            </w:pPr>
            <w:r>
              <w:rPr>
                <w:rFonts w:hint="eastAsia" w:ascii="仿宋_GB2312" w:eastAsia="仿宋_GB2312"/>
                <w:kern w:val="0"/>
                <w:sz w:val="24"/>
              </w:rPr>
              <w:t>服务对象满意度指标</w:t>
            </w:r>
          </w:p>
        </w:tc>
        <w:tc>
          <w:tcPr>
            <w:tcW w:w="1577" w:type="dxa"/>
            <w:gridSpan w:val="2"/>
            <w:tcBorders>
              <w:top w:val="single" w:color="auto" w:sz="4" w:space="0"/>
              <w:left w:val="nil"/>
              <w:bottom w:val="single" w:color="auto" w:sz="4" w:space="0"/>
              <w:right w:val="single" w:color="auto" w:sz="4" w:space="0"/>
              <w:tl2br w:val="nil"/>
              <w:tr2bl w:val="nil"/>
            </w:tcBorders>
            <w:vAlign w:val="center"/>
          </w:tcPr>
          <w:p w14:paraId="2341CC26">
            <w:pPr>
              <w:widowControl/>
              <w:spacing w:line="240" w:lineRule="exact"/>
              <w:jc w:val="left"/>
              <w:rPr>
                <w:rFonts w:hint="eastAsia" w:ascii="仿宋_GB2312" w:eastAsia="仿宋_GB2312"/>
                <w:color w:val="000000"/>
                <w:kern w:val="0"/>
                <w:sz w:val="24"/>
                <w:lang w:eastAsia="zh-CN"/>
              </w:rPr>
            </w:pPr>
            <w:r>
              <w:rPr>
                <w:rFonts w:hint="eastAsia" w:ascii="仿宋_GB2312" w:eastAsia="仿宋_GB2312"/>
                <w:color w:val="000000"/>
                <w:kern w:val="0"/>
                <w:sz w:val="24"/>
                <w:lang w:eastAsia="zh-CN"/>
              </w:rPr>
              <w:t>群众满意度</w:t>
            </w:r>
          </w:p>
        </w:tc>
        <w:tc>
          <w:tcPr>
            <w:tcW w:w="634" w:type="dxa"/>
            <w:tcBorders>
              <w:top w:val="nil"/>
              <w:left w:val="nil"/>
              <w:bottom w:val="single" w:color="auto" w:sz="4" w:space="0"/>
              <w:right w:val="single" w:color="auto" w:sz="4" w:space="0"/>
              <w:tl2br w:val="nil"/>
              <w:tr2bl w:val="nil"/>
            </w:tcBorders>
            <w:vAlign w:val="center"/>
          </w:tcPr>
          <w:p w14:paraId="18E83545">
            <w:pPr>
              <w:keepNext w:val="0"/>
              <w:keepLines w:val="0"/>
              <w:widowControl/>
              <w:suppressLineNumbers w:val="0"/>
              <w:jc w:val="center"/>
              <w:textAlignment w:val="center"/>
              <w:rPr>
                <w:rFonts w:hint="eastAsia" w:ascii="仿宋_GB2312" w:eastAsia="仿宋_GB2312"/>
                <w:kern w:val="0"/>
                <w:sz w:val="24"/>
                <w:lang w:eastAsia="zh-CN"/>
              </w:rPr>
            </w:pPr>
            <w:r>
              <w:rPr>
                <w:rFonts w:hint="eastAsia" w:ascii="宋体" w:hAnsi="宋体" w:eastAsia="宋体" w:cs="宋体"/>
                <w:i w:val="0"/>
                <w:iCs w:val="0"/>
                <w:color w:val="000000"/>
                <w:kern w:val="0"/>
                <w:sz w:val="24"/>
                <w:szCs w:val="24"/>
                <w:u w:val="none"/>
                <w:lang w:val="en-US" w:eastAsia="zh-CN" w:bidi="ar"/>
              </w:rPr>
              <w:t>≥</w:t>
            </w:r>
            <w:r>
              <w:rPr>
                <w:rFonts w:hint="eastAsia" w:ascii="宋体" w:hAnsi="宋体" w:cs="宋体"/>
                <w:i w:val="0"/>
                <w:iCs w:val="0"/>
                <w:color w:val="000000"/>
                <w:kern w:val="0"/>
                <w:sz w:val="24"/>
                <w:szCs w:val="24"/>
                <w:u w:val="none"/>
                <w:lang w:val="en-US" w:eastAsia="zh-CN" w:bidi="ar"/>
              </w:rPr>
              <w:t>95%</w:t>
            </w:r>
          </w:p>
        </w:tc>
        <w:tc>
          <w:tcPr>
            <w:tcW w:w="1295" w:type="dxa"/>
            <w:tcBorders>
              <w:top w:val="nil"/>
              <w:left w:val="nil"/>
              <w:bottom w:val="single" w:color="auto" w:sz="4" w:space="0"/>
              <w:right w:val="single" w:color="auto" w:sz="4" w:space="0"/>
              <w:tl2br w:val="nil"/>
              <w:tr2bl w:val="nil"/>
            </w:tcBorders>
            <w:vAlign w:val="center"/>
          </w:tcPr>
          <w:p w14:paraId="542564F3">
            <w:pPr>
              <w:keepNext w:val="0"/>
              <w:keepLines w:val="0"/>
              <w:widowControl/>
              <w:suppressLineNumbers w:val="0"/>
              <w:jc w:val="center"/>
              <w:textAlignment w:val="center"/>
              <w:rPr>
                <w:rFonts w:hint="eastAsia" w:ascii="仿宋_GB2312" w:eastAsia="仿宋_GB2312"/>
                <w:kern w:val="0"/>
                <w:sz w:val="24"/>
                <w:lang w:eastAsia="zh-CN"/>
              </w:rPr>
            </w:pPr>
            <w:r>
              <w:rPr>
                <w:rFonts w:hint="eastAsia" w:ascii="宋体" w:hAnsi="宋体" w:cs="宋体"/>
                <w:i w:val="0"/>
                <w:iCs w:val="0"/>
                <w:color w:val="000000"/>
                <w:kern w:val="0"/>
                <w:sz w:val="24"/>
                <w:szCs w:val="24"/>
                <w:u w:val="none"/>
                <w:lang w:val="en-US" w:eastAsia="zh-CN" w:bidi="ar"/>
              </w:rPr>
              <w:t>95%</w:t>
            </w:r>
          </w:p>
        </w:tc>
        <w:tc>
          <w:tcPr>
            <w:tcW w:w="676" w:type="dxa"/>
            <w:tcBorders>
              <w:top w:val="nil"/>
              <w:left w:val="nil"/>
              <w:bottom w:val="single" w:color="auto" w:sz="4" w:space="0"/>
              <w:right w:val="single" w:color="auto" w:sz="4" w:space="0"/>
              <w:tl2br w:val="nil"/>
              <w:tr2bl w:val="nil"/>
            </w:tcBorders>
            <w:vAlign w:val="center"/>
          </w:tcPr>
          <w:p w14:paraId="690521E2">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10</w:t>
            </w:r>
          </w:p>
        </w:tc>
        <w:tc>
          <w:tcPr>
            <w:tcW w:w="546" w:type="dxa"/>
            <w:gridSpan w:val="2"/>
            <w:tcBorders>
              <w:top w:val="nil"/>
              <w:left w:val="nil"/>
              <w:bottom w:val="single" w:color="auto" w:sz="4" w:space="0"/>
              <w:right w:val="single" w:color="auto" w:sz="4" w:space="0"/>
              <w:tl2br w:val="nil"/>
              <w:tr2bl w:val="nil"/>
            </w:tcBorders>
            <w:vAlign w:val="center"/>
          </w:tcPr>
          <w:p w14:paraId="63D8D98F">
            <w:pPr>
              <w:widowControl/>
              <w:spacing w:line="240" w:lineRule="exac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10</w:t>
            </w:r>
          </w:p>
        </w:tc>
        <w:tc>
          <w:tcPr>
            <w:tcW w:w="1384" w:type="dxa"/>
            <w:gridSpan w:val="2"/>
            <w:tcBorders>
              <w:top w:val="single" w:color="auto" w:sz="4" w:space="0"/>
              <w:left w:val="nil"/>
              <w:bottom w:val="single" w:color="auto" w:sz="4" w:space="0"/>
              <w:right w:val="single" w:color="auto" w:sz="4" w:space="0"/>
              <w:tl2br w:val="nil"/>
              <w:tr2bl w:val="nil"/>
            </w:tcBorders>
            <w:vAlign w:val="center"/>
          </w:tcPr>
          <w:p w14:paraId="67B62178">
            <w:pPr>
              <w:widowControl/>
              <w:spacing w:line="240" w:lineRule="exact"/>
              <w:jc w:val="center"/>
              <w:rPr>
                <w:rFonts w:hint="eastAsia" w:ascii="仿宋_GB2312" w:eastAsia="仿宋_GB2312"/>
                <w:kern w:val="0"/>
                <w:sz w:val="24"/>
              </w:rPr>
            </w:pPr>
          </w:p>
        </w:tc>
      </w:tr>
      <w:tr w14:paraId="3F786F63">
        <w:tblPrEx>
          <w:tblCellMar>
            <w:top w:w="0" w:type="dxa"/>
            <w:left w:w="0" w:type="dxa"/>
            <w:bottom w:w="0" w:type="dxa"/>
            <w:right w:w="0" w:type="dxa"/>
          </w:tblCellMar>
        </w:tblPrEx>
        <w:trPr>
          <w:gridAfter w:val="1"/>
          <w:wAfter w:w="46" w:type="dxa"/>
          <w:trHeight w:val="394" w:hRule="atLeast"/>
          <w:jc w:val="center"/>
        </w:trPr>
        <w:tc>
          <w:tcPr>
            <w:tcW w:w="6609" w:type="dxa"/>
            <w:gridSpan w:val="7"/>
            <w:tcBorders>
              <w:top w:val="single" w:color="auto" w:sz="4" w:space="0"/>
              <w:left w:val="single" w:color="auto" w:sz="4" w:space="0"/>
              <w:bottom w:val="single" w:color="auto" w:sz="4" w:space="0"/>
              <w:right w:val="single" w:color="auto" w:sz="4" w:space="0"/>
              <w:tl2br w:val="nil"/>
              <w:tr2bl w:val="nil"/>
            </w:tcBorders>
            <w:vAlign w:val="center"/>
          </w:tcPr>
          <w:p w14:paraId="21680D69">
            <w:pPr>
              <w:widowControl/>
              <w:spacing w:line="240" w:lineRule="exact"/>
              <w:jc w:val="center"/>
              <w:rPr>
                <w:rFonts w:hint="eastAsia" w:ascii="仿宋_GB2312" w:eastAsia="仿宋_GB2312"/>
                <w:color w:val="000000"/>
                <w:kern w:val="0"/>
                <w:sz w:val="24"/>
              </w:rPr>
            </w:pPr>
            <w:r>
              <w:rPr>
                <w:rFonts w:hint="eastAsia" w:ascii="仿宋_GB2312" w:eastAsia="仿宋_GB2312"/>
                <w:color w:val="000000"/>
                <w:kern w:val="0"/>
                <w:sz w:val="24"/>
              </w:rPr>
              <w:t>总分</w:t>
            </w:r>
          </w:p>
        </w:tc>
        <w:tc>
          <w:tcPr>
            <w:tcW w:w="676" w:type="dxa"/>
            <w:tcBorders>
              <w:top w:val="nil"/>
              <w:left w:val="nil"/>
              <w:bottom w:val="single" w:color="auto" w:sz="4" w:space="0"/>
              <w:right w:val="single" w:color="auto" w:sz="4" w:space="0"/>
              <w:tl2br w:val="nil"/>
              <w:tr2bl w:val="nil"/>
            </w:tcBorders>
            <w:vAlign w:val="center"/>
          </w:tcPr>
          <w:p w14:paraId="48F5E07E">
            <w:pPr>
              <w:widowControl/>
              <w:spacing w:line="240" w:lineRule="exact"/>
              <w:jc w:val="center"/>
              <w:rPr>
                <w:rFonts w:hint="eastAsia" w:ascii="仿宋_GB2312" w:eastAsia="仿宋_GB2312"/>
                <w:color w:val="000000"/>
                <w:kern w:val="0"/>
                <w:sz w:val="24"/>
              </w:rPr>
            </w:pPr>
            <w:r>
              <w:rPr>
                <w:rFonts w:hint="eastAsia" w:ascii="仿宋_GB2312" w:eastAsia="仿宋_GB2312"/>
                <w:color w:val="000000"/>
                <w:kern w:val="0"/>
                <w:sz w:val="24"/>
              </w:rPr>
              <w:t>100</w:t>
            </w:r>
          </w:p>
        </w:tc>
        <w:tc>
          <w:tcPr>
            <w:tcW w:w="546" w:type="dxa"/>
            <w:gridSpan w:val="2"/>
            <w:tcBorders>
              <w:top w:val="nil"/>
              <w:left w:val="nil"/>
              <w:bottom w:val="single" w:color="auto" w:sz="4" w:space="0"/>
              <w:right w:val="single" w:color="auto" w:sz="4" w:space="0"/>
              <w:tl2br w:val="nil"/>
              <w:tr2bl w:val="nil"/>
            </w:tcBorders>
            <w:vAlign w:val="center"/>
          </w:tcPr>
          <w:p w14:paraId="78A5AFCA">
            <w:pPr>
              <w:widowControl/>
              <w:spacing w:line="240" w:lineRule="exact"/>
              <w:jc w:val="center"/>
              <w:rPr>
                <w:rFonts w:hint="default" w:ascii="仿宋_GB2312" w:eastAsia="仿宋_GB2312"/>
                <w:color w:val="000000"/>
                <w:kern w:val="0"/>
                <w:sz w:val="24"/>
                <w:lang w:val="en-US" w:eastAsia="zh-CN"/>
              </w:rPr>
            </w:pPr>
            <w:r>
              <w:rPr>
                <w:rFonts w:hint="eastAsia" w:ascii="仿宋_GB2312" w:eastAsia="仿宋_GB2312"/>
                <w:color w:val="000000"/>
                <w:kern w:val="0"/>
                <w:sz w:val="24"/>
                <w:lang w:val="en-US" w:eastAsia="zh-CN"/>
              </w:rPr>
              <w:t>98.75</w:t>
            </w:r>
          </w:p>
        </w:tc>
        <w:tc>
          <w:tcPr>
            <w:tcW w:w="1384" w:type="dxa"/>
            <w:gridSpan w:val="2"/>
            <w:tcBorders>
              <w:top w:val="single" w:color="auto" w:sz="4" w:space="0"/>
              <w:left w:val="nil"/>
              <w:bottom w:val="single" w:color="auto" w:sz="4" w:space="0"/>
              <w:right w:val="single" w:color="auto" w:sz="4" w:space="0"/>
              <w:tl2br w:val="nil"/>
              <w:tr2bl w:val="nil"/>
            </w:tcBorders>
            <w:vAlign w:val="center"/>
          </w:tcPr>
          <w:p w14:paraId="4B9DBDB8">
            <w:pPr>
              <w:widowControl/>
              <w:spacing w:line="240" w:lineRule="exact"/>
              <w:jc w:val="center"/>
              <w:rPr>
                <w:rFonts w:hint="eastAsia" w:ascii="仿宋_GB2312" w:eastAsia="仿宋_GB2312"/>
                <w:kern w:val="0"/>
                <w:sz w:val="24"/>
              </w:rPr>
            </w:pPr>
          </w:p>
        </w:tc>
      </w:tr>
    </w:tbl>
    <w:p w14:paraId="7CB02A0C">
      <w:pPr>
        <w:pStyle w:val="29"/>
        <w:widowControl/>
        <w:numPr>
          <w:ilvl w:val="0"/>
          <w:numId w:val="0"/>
        </w:numPr>
        <w:spacing w:before="240" w:after="240" w:line="560" w:lineRule="atLeast"/>
        <w:jc w:val="left"/>
        <w:rPr>
          <w:rFonts w:ascii="FangSong_GB2312" w:hAnsi="FangSong_GB2312" w:eastAsia="FangSong_GB2312" w:cs="FangSong_GB2312"/>
          <w:kern w:val="0"/>
          <w:sz w:val="32"/>
          <w:szCs w:val="32"/>
        </w:rPr>
      </w:pPr>
    </w:p>
    <w:p w14:paraId="27FEB4BB">
      <w:pPr>
        <w:pStyle w:val="29"/>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（三）部门项目绩效评价结果。</w:t>
      </w:r>
    </w:p>
    <w:p w14:paraId="2D86DE15">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市政公用事业保障业务经费项目，该项目绩效评价综合得分为98.75分，绩效评价结果为“优”。部门项目绩效评价得分情况详见部门（单位）具体绩效评价结果。</w:t>
      </w:r>
    </w:p>
    <w:p w14:paraId="283D686E">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default" w:ascii="Times New Roman Regular" w:hAnsi="Times New Roman Regular" w:eastAsia="方正小标宋简体" w:cs="Times New Roman Regular"/>
          <w:sz w:val="44"/>
          <w:szCs w:val="44"/>
        </w:rPr>
      </w:pPr>
      <w:r>
        <w:rPr>
          <w:rFonts w:hint="eastAsia" w:ascii="方正小标宋简体" w:hAnsi="方正小标宋简体" w:eastAsia="方正小标宋简体" w:cs="方正小标宋简体"/>
          <w:sz w:val="44"/>
          <w:szCs w:val="44"/>
        </w:rPr>
        <w:t>2025年</w:t>
      </w:r>
      <w:r>
        <w:rPr>
          <w:rFonts w:hint="eastAsia" w:ascii="方正小标宋简体" w:hAnsi="方正小标宋简体" w:eastAsia="方正小标宋简体" w:cs="方正小标宋简体"/>
          <w:sz w:val="44"/>
          <w:szCs w:val="44"/>
          <w:lang w:val="en-US" w:eastAsia="zh-CN"/>
        </w:rPr>
        <w:t>度</w:t>
      </w:r>
      <w:r>
        <w:rPr>
          <w:rFonts w:hint="eastAsia" w:ascii="方正小标宋简体" w:hAnsi="方正小标宋简体" w:eastAsia="方正小标宋简体" w:cs="方正小标宋简体"/>
          <w:sz w:val="44"/>
          <w:szCs w:val="44"/>
        </w:rPr>
        <w:t>市政公用事业保障业务经费</w:t>
      </w:r>
      <w:r>
        <w:rPr>
          <w:rFonts w:ascii="方正小标宋简体" w:hAnsi="方正小标宋简体" w:eastAsia="方正小标宋简体" w:cs="方正小标宋简体"/>
          <w:sz w:val="44"/>
        </w:rPr>
        <w:t>项目绩效自评报告</w:t>
      </w:r>
    </w:p>
    <w:p w14:paraId="5E19942F">
      <w:pPr>
        <w:pStyle w:val="2"/>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项目</w:t>
      </w:r>
      <w:r>
        <w:rPr>
          <w:rFonts w:hint="eastAsia" w:ascii="黑体" w:hAnsi="黑体" w:eastAsia="黑体" w:cs="黑体"/>
          <w:sz w:val="32"/>
          <w:szCs w:val="32"/>
          <w:lang w:val="en-US" w:eastAsia="zh-CN"/>
        </w:rPr>
        <w:t>基本</w:t>
      </w:r>
      <w:r>
        <w:rPr>
          <w:rFonts w:hint="eastAsia" w:ascii="黑体" w:hAnsi="黑体" w:eastAsia="黑体" w:cs="黑体"/>
          <w:sz w:val="32"/>
          <w:szCs w:val="32"/>
        </w:rPr>
        <w:t>情况</w:t>
      </w:r>
    </w:p>
    <w:p w14:paraId="60E7E02E">
      <w:pPr>
        <w:keepNext w:val="0"/>
        <w:keepLines w:val="0"/>
        <w:pageBreakBefore w:val="0"/>
        <w:widowControl w:val="0"/>
        <w:kinsoku/>
        <w:wordWrap/>
        <w:overflowPunct/>
        <w:topLinePunct/>
        <w:autoSpaceDE/>
        <w:autoSpaceDN/>
        <w:bidi w:val="0"/>
        <w:adjustRightInd/>
        <w:snapToGrid/>
        <w:spacing w:line="56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（一）项目基本情况简介。</w:t>
      </w:r>
    </w:p>
    <w:p w14:paraId="7ECC7CD5">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巴彦淖尔市城市生活垃圾分类指导中心（巴彦淖尔市市政公用事业服务中心）主要职责：1.参与拟定城市生活垃圾分类投放、分类收集、分类运转、分类处置相关政策法规、标准规范制度体系、发展规划和年度计划；2.开展城市生活垃圾分类的宣传、教育、培训、技术引进、应用及推广实施工作；3.承担城市生活垃圾分类考核评价的辅助性工作；4.承担城镇供排水、环卫、园林、垃圾处理等基础设施建设、安全运行管理以及公用事业发展等方面的技术支持和服务保障工作；5.承担全市城镇供排水水质监测和黑臭水体的调查和统计分析工作；6.提升城镇供水等基础设施建设及安全运行管理，提高安全标准化水平；7.承担城镇供排水、环卫、园林、垃圾处理等基础设施建设、安全运行管理以及公用事业发展等方面的技术支持和服务保障工作。市政公用事业涉及千家万户息息相关的利益，水质检测能从源头上保障居民饮用水达标安全，进一步加强我市城市供水水质管理，保障城市供水水质安全；扎实推进生活垃圾分类工作，为满足人民群众对美好生活的需要、构建基层社会治理新格局、推动生态文明建设、提高社会文明水平发挥积极作用；从2020年底开始，力争再用5年左右的时间，基本建立配套完善的生活垃圾分类法律法规体系，地级及以上城市因地制宜基本建立生活垃圾分类投放、分类收集、分类运输、分类处理体系，居民普遍形成生活垃圾分类习惯；推动有条件的地方加快生活垃圾管理立法工作，健全的生活垃圾分类法规体系，因地制宜细化生活垃圾分类投放、收集、运输、处理的管理要求和技术标准，到2025年底形成具有地方特点的、科学长效的生活垃圾管理模式；为认真贯彻落实习近平总书记关于安全生产重要论述和重要指示批示精神，深刻汲取近年来城镇燃气安全重特大事故教训，按照国家和自治区安排部署，全面加强城镇燃气安全风险隐患排查治理。全面压实企业主体责任、部门监管责任和地方党政领导责任，强化企业人员岗位安全责任和技能，聘请专家培训、评估、换证，坚决防范重特大事故发生。</w:t>
      </w:r>
    </w:p>
    <w:p w14:paraId="7644DF1E">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default" w:ascii="FangSong_GB2312" w:hAnsi="FangSong_GB2312" w:eastAsia="FangSong_GB2312" w:cs="FangSong_GB2312"/>
          <w:kern w:val="0"/>
          <w:sz w:val="32"/>
          <w:szCs w:val="32"/>
          <w:lang w:val="en-US" w:eastAsia="zh-CN" w:bidi="ar-SA"/>
        </w:rPr>
        <w:t>（二）绩效目标设定及指标完成情况。</w:t>
      </w:r>
    </w:p>
    <w:p w14:paraId="5F615597">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年度绩效</w:t>
      </w:r>
      <w:r>
        <w:rPr>
          <w:rFonts w:hint="default" w:ascii="FangSong_GB2312" w:hAnsi="FangSong_GB2312" w:eastAsia="FangSong_GB2312" w:cs="FangSong_GB2312"/>
          <w:kern w:val="0"/>
          <w:sz w:val="32"/>
          <w:szCs w:val="32"/>
          <w:lang w:val="en-US" w:eastAsia="zh-CN" w:bidi="ar-SA"/>
        </w:rPr>
        <w:t>目标：</w:t>
      </w:r>
      <w:r>
        <w:rPr>
          <w:rFonts w:hint="eastAsia" w:ascii="FangSong_GB2312" w:hAnsi="FangSong_GB2312" w:eastAsia="FangSong_GB2312" w:cs="FangSong_GB2312"/>
          <w:kern w:val="0"/>
          <w:sz w:val="32"/>
          <w:szCs w:val="32"/>
          <w:lang w:val="en-US" w:eastAsia="zh-CN" w:bidi="ar-SA"/>
        </w:rPr>
        <w:t>市政公用事业涉及千家万户息息相关的利益，水质检测能从源头上保障居民饮用水达标安全，进一步加强我市城市供水水质管理，保障城市供水水质安全；扎实推进生活垃圾分类工作，为满足人民群众对美好生活的需要、构建基层社会治理新格局、推动生态文明建设、提高社会文明水平发挥积极作用；从2020年底开始，力争再用5年左右的时间，基本建立配套完善的生活垃圾分类法律法规体系，地级及以上城市因地制宜基本建立生活垃圾分类投放、分类收集、分类运输、分类处理体系，居民普遍形成生活垃圾分类习惯；推动有条件的地方加快生活垃圾管理立法工作，健全的生活垃圾分类法规体系，因地制宜细化生活垃圾分类投放、收集、运输、处理的管理要求和技术标准，到2025年底形成具有地方特点的、科学长效的生活垃圾管理模式；为认真贯彻落实习近平总书记关于安全生产重要论述和重要指示批示精神，深刻汲取近年来城镇燃气安全重特大事故教训，按照国家和自治区安排部署，全面加强城镇燃气安全风险隐患排查治理。全面压实企业主体责任、部门监管责任和地方党政领导责任，强化企业人员岗位安全责任和技能，聘请专家培训、评估、换证，坚决防范重特大事故发生。</w:t>
      </w:r>
    </w:p>
    <w:p w14:paraId="62CE4299">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年度</w:t>
      </w:r>
      <w:r>
        <w:rPr>
          <w:rFonts w:hint="default" w:ascii="FangSong_GB2312" w:hAnsi="FangSong_GB2312" w:eastAsia="FangSong_GB2312" w:cs="FangSong_GB2312"/>
          <w:kern w:val="0"/>
          <w:sz w:val="32"/>
          <w:szCs w:val="32"/>
          <w:lang w:val="en-US" w:eastAsia="zh-CN" w:bidi="ar-SA"/>
        </w:rPr>
        <w:t>绩效目标完成情况：</w:t>
      </w:r>
      <w:r>
        <w:rPr>
          <w:rFonts w:hint="eastAsia" w:ascii="FangSong_GB2312" w:hAnsi="FangSong_GB2312" w:eastAsia="FangSong_GB2312" w:cs="FangSong_GB2312"/>
          <w:kern w:val="0"/>
          <w:sz w:val="32"/>
          <w:szCs w:val="32"/>
          <w:lang w:val="en-US" w:eastAsia="zh-CN" w:bidi="ar-SA"/>
        </w:rPr>
        <w:t xml:space="preserve"> 本年度市政公用事业保障业务经费预算总额为40万元，实际执行38.98万元，预算执行率97.45%。围绕城镇燃气安全、城市生活垃圾分类、水质检测三大核心任务，圆满完成2次大培训、及时进社区、进小区宣传、开展“双随机、一公开”排查检查。整体来看，经费使用合规高效，业务推进有序有力，较好的实现了预期绩效目标，为市政业务运转提供了坚实支撑。</w:t>
      </w:r>
    </w:p>
    <w:p w14:paraId="7380EB15">
      <w:pPr>
        <w:pStyle w:val="2"/>
        <w:pageBreakBefore w:val="0"/>
        <w:widowControl w:val="0"/>
        <w:kinsoku/>
        <w:wordWrap/>
        <w:overflowPunct/>
        <w:autoSpaceDE/>
        <w:autoSpaceDN/>
        <w:bidi w:val="0"/>
        <w:adjustRightInd/>
        <w:snapToGrid/>
        <w:spacing w:before="0" w:after="0"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二、绩效自评工作情况</w:t>
      </w:r>
    </w:p>
    <w:p w14:paraId="1AF317BE">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default" w:ascii="FangSong_GB2312" w:hAnsi="FangSong_GB2312" w:eastAsia="FangSong_GB2312" w:cs="FangSong_GB2312"/>
          <w:kern w:val="0"/>
          <w:sz w:val="32"/>
          <w:szCs w:val="32"/>
          <w:lang w:val="en-US" w:eastAsia="zh-CN" w:bidi="ar-SA"/>
        </w:rPr>
        <w:t>（一）绩效自评目的。</w:t>
      </w:r>
    </w:p>
    <w:p w14:paraId="455D46A1">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本次年度绩效自评的核心是全面检验市政公共事业保障业务经费的使用效益、管理规范性和目标完成度，精准排查经费使用、业务推进、自评填报中的薄弱环节，客观评价绩效目标完成情况。通过自评，进一步强化经费预算约束，优化经费配置结构，规范经费管理流程，推动经费使用提质增效，确保经费切实投入到城镇燃气安全、城市生活垃圾分类、水质检测三大核心任务中，更好的发挥市政公用事业的基础性作用，为城市正常运转、民生福祉提供坚实支撑；同时，以自评促整改、以整改促提升，完善绩效管理制度，推进市政公用事业高质量发展。</w:t>
      </w:r>
    </w:p>
    <w:p w14:paraId="7DB65A70">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（二）项目资金投入情况。</w:t>
      </w:r>
    </w:p>
    <w:p w14:paraId="5705771A">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default" w:ascii="FangSong_GB2312" w:hAnsi="FangSong_GB2312" w:eastAsia="FangSong_GB2312" w:cs="FangSong_GB2312"/>
          <w:kern w:val="0"/>
          <w:sz w:val="32"/>
          <w:szCs w:val="32"/>
          <w:lang w:val="en-US" w:eastAsia="zh-CN" w:bidi="ar-SA"/>
        </w:rPr>
        <w:t>本</w:t>
      </w:r>
      <w:r>
        <w:rPr>
          <w:rFonts w:hint="eastAsia" w:ascii="FangSong_GB2312" w:hAnsi="FangSong_GB2312" w:eastAsia="FangSong_GB2312" w:cs="FangSong_GB2312"/>
          <w:kern w:val="0"/>
          <w:sz w:val="32"/>
          <w:szCs w:val="32"/>
          <w:lang w:val="en-US" w:eastAsia="zh-CN" w:bidi="ar-SA"/>
        </w:rPr>
        <w:t>项目资金</w:t>
      </w:r>
      <w:r>
        <w:rPr>
          <w:rFonts w:hint="default" w:ascii="FangSong_GB2312" w:hAnsi="FangSong_GB2312" w:eastAsia="FangSong_GB2312" w:cs="FangSong_GB2312"/>
          <w:kern w:val="0"/>
          <w:sz w:val="32"/>
          <w:szCs w:val="32"/>
          <w:lang w:val="en-US" w:eastAsia="zh-CN" w:bidi="ar-SA"/>
        </w:rPr>
        <w:t>年初预算数</w:t>
      </w:r>
      <w:r>
        <w:rPr>
          <w:rFonts w:hint="eastAsia" w:ascii="FangSong_GB2312" w:hAnsi="FangSong_GB2312" w:eastAsia="FangSong_GB2312" w:cs="FangSong_GB2312"/>
          <w:kern w:val="0"/>
          <w:sz w:val="32"/>
          <w:szCs w:val="32"/>
          <w:lang w:val="en-US" w:eastAsia="zh-CN" w:bidi="ar-SA"/>
        </w:rPr>
        <w:t>40</w:t>
      </w:r>
      <w:r>
        <w:rPr>
          <w:rFonts w:hint="default" w:ascii="FangSong_GB2312" w:hAnsi="FangSong_GB2312" w:eastAsia="FangSong_GB2312" w:cs="FangSong_GB2312"/>
          <w:kern w:val="0"/>
          <w:sz w:val="32"/>
          <w:szCs w:val="32"/>
          <w:lang w:val="en-US" w:eastAsia="zh-CN" w:bidi="ar-SA"/>
        </w:rPr>
        <w:t>万元，其中：财政拨款</w:t>
      </w:r>
      <w:r>
        <w:rPr>
          <w:rFonts w:hint="eastAsia" w:ascii="FangSong_GB2312" w:hAnsi="FangSong_GB2312" w:eastAsia="FangSong_GB2312" w:cs="FangSong_GB2312"/>
          <w:kern w:val="0"/>
          <w:sz w:val="32"/>
          <w:szCs w:val="32"/>
          <w:lang w:val="en-US" w:eastAsia="zh-CN" w:bidi="ar-SA"/>
        </w:rPr>
        <w:t>40</w:t>
      </w:r>
      <w:r>
        <w:rPr>
          <w:rFonts w:hint="default" w:ascii="FangSong_GB2312" w:hAnsi="FangSong_GB2312" w:eastAsia="FangSong_GB2312" w:cs="FangSong_GB2312"/>
          <w:kern w:val="0"/>
          <w:sz w:val="32"/>
          <w:szCs w:val="32"/>
          <w:lang w:val="en-US" w:eastAsia="zh-CN" w:bidi="ar-SA"/>
        </w:rPr>
        <w:t>万元，其他资金</w:t>
      </w:r>
      <w:r>
        <w:rPr>
          <w:rFonts w:hint="eastAsia" w:ascii="FangSong_GB2312" w:hAnsi="FangSong_GB2312" w:eastAsia="FangSong_GB2312" w:cs="FangSong_GB2312"/>
          <w:kern w:val="0"/>
          <w:sz w:val="32"/>
          <w:szCs w:val="32"/>
          <w:lang w:val="en-US" w:eastAsia="zh-CN" w:bidi="ar-SA"/>
        </w:rPr>
        <w:t>0</w:t>
      </w:r>
      <w:r>
        <w:rPr>
          <w:rFonts w:hint="default" w:ascii="FangSong_GB2312" w:hAnsi="FangSong_GB2312" w:eastAsia="FangSong_GB2312" w:cs="FangSong_GB2312"/>
          <w:kern w:val="0"/>
          <w:sz w:val="32"/>
          <w:szCs w:val="32"/>
          <w:lang w:val="en-US" w:eastAsia="zh-CN" w:bidi="ar-SA"/>
        </w:rPr>
        <w:t>万元。</w:t>
      </w:r>
    </w:p>
    <w:p w14:paraId="7D313889">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default" w:ascii="FangSong_GB2312" w:hAnsi="FangSong_GB2312" w:eastAsia="FangSong_GB2312" w:cs="FangSong_GB2312"/>
          <w:kern w:val="0"/>
          <w:sz w:val="32"/>
          <w:szCs w:val="32"/>
          <w:lang w:val="en-US" w:eastAsia="zh-CN" w:bidi="ar-SA"/>
        </w:rPr>
        <w:t>本</w:t>
      </w:r>
      <w:r>
        <w:rPr>
          <w:rFonts w:hint="eastAsia" w:ascii="FangSong_GB2312" w:hAnsi="FangSong_GB2312" w:eastAsia="FangSong_GB2312" w:cs="FangSong_GB2312"/>
          <w:kern w:val="0"/>
          <w:sz w:val="32"/>
          <w:szCs w:val="32"/>
          <w:lang w:val="en-US" w:eastAsia="zh-CN" w:bidi="ar-SA"/>
        </w:rPr>
        <w:t>项目</w:t>
      </w:r>
      <w:r>
        <w:rPr>
          <w:rFonts w:hint="default" w:ascii="FangSong_GB2312" w:hAnsi="FangSong_GB2312" w:eastAsia="FangSong_GB2312" w:cs="FangSong_GB2312"/>
          <w:kern w:val="0"/>
          <w:sz w:val="32"/>
          <w:szCs w:val="32"/>
          <w:lang w:val="en-US" w:eastAsia="zh-CN" w:bidi="ar-SA"/>
        </w:rPr>
        <w:t>资金</w:t>
      </w:r>
      <w:r>
        <w:rPr>
          <w:rFonts w:hint="eastAsia" w:ascii="FangSong_GB2312" w:hAnsi="FangSong_GB2312" w:eastAsia="FangSong_GB2312" w:cs="FangSong_GB2312"/>
          <w:kern w:val="0"/>
          <w:sz w:val="32"/>
          <w:szCs w:val="32"/>
          <w:lang w:val="en-US" w:eastAsia="zh-CN" w:bidi="ar-SA"/>
        </w:rPr>
        <w:t>年度调整金额0</w:t>
      </w:r>
      <w:r>
        <w:rPr>
          <w:rFonts w:hint="default" w:ascii="FangSong_GB2312" w:hAnsi="FangSong_GB2312" w:eastAsia="FangSong_GB2312" w:cs="FangSong_GB2312"/>
          <w:kern w:val="0"/>
          <w:sz w:val="32"/>
          <w:szCs w:val="32"/>
          <w:lang w:val="en-US" w:eastAsia="zh-CN" w:bidi="ar-SA"/>
        </w:rPr>
        <w:t>万元，其中：财政拨款</w:t>
      </w:r>
      <w:r>
        <w:rPr>
          <w:rFonts w:hint="eastAsia" w:ascii="FangSong_GB2312" w:hAnsi="FangSong_GB2312" w:eastAsia="FangSong_GB2312" w:cs="FangSong_GB2312"/>
          <w:kern w:val="0"/>
          <w:sz w:val="32"/>
          <w:szCs w:val="32"/>
          <w:lang w:val="en-US" w:eastAsia="zh-CN" w:bidi="ar-SA"/>
        </w:rPr>
        <w:t>0</w:t>
      </w:r>
      <w:r>
        <w:rPr>
          <w:rFonts w:hint="default" w:ascii="FangSong_GB2312" w:hAnsi="FangSong_GB2312" w:eastAsia="FangSong_GB2312" w:cs="FangSong_GB2312"/>
          <w:kern w:val="0"/>
          <w:sz w:val="32"/>
          <w:szCs w:val="32"/>
          <w:lang w:val="en-US" w:eastAsia="zh-CN" w:bidi="ar-SA"/>
        </w:rPr>
        <w:t>万元，其他资金</w:t>
      </w:r>
      <w:r>
        <w:rPr>
          <w:rFonts w:hint="eastAsia" w:ascii="FangSong_GB2312" w:hAnsi="FangSong_GB2312" w:eastAsia="FangSong_GB2312" w:cs="FangSong_GB2312"/>
          <w:kern w:val="0"/>
          <w:sz w:val="32"/>
          <w:szCs w:val="32"/>
          <w:lang w:val="en-US" w:eastAsia="zh-CN" w:bidi="ar-SA"/>
        </w:rPr>
        <w:t>0</w:t>
      </w:r>
      <w:r>
        <w:rPr>
          <w:rFonts w:hint="default" w:ascii="FangSong_GB2312" w:hAnsi="FangSong_GB2312" w:eastAsia="FangSong_GB2312" w:cs="FangSong_GB2312"/>
          <w:kern w:val="0"/>
          <w:sz w:val="32"/>
          <w:szCs w:val="32"/>
          <w:lang w:val="en-US" w:eastAsia="zh-CN" w:bidi="ar-SA"/>
        </w:rPr>
        <w:t>万元。</w:t>
      </w:r>
    </w:p>
    <w:p w14:paraId="36AB6641">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default" w:ascii="FangSong_GB2312" w:hAnsi="FangSong_GB2312" w:eastAsia="FangSong_GB2312" w:cs="FangSong_GB2312"/>
          <w:kern w:val="0"/>
          <w:sz w:val="32"/>
          <w:szCs w:val="32"/>
          <w:lang w:val="en-US" w:eastAsia="zh-CN" w:bidi="ar-SA"/>
        </w:rPr>
        <w:t>本</w:t>
      </w:r>
      <w:r>
        <w:rPr>
          <w:rFonts w:hint="eastAsia" w:ascii="FangSong_GB2312" w:hAnsi="FangSong_GB2312" w:eastAsia="FangSong_GB2312" w:cs="FangSong_GB2312"/>
          <w:kern w:val="0"/>
          <w:sz w:val="32"/>
          <w:szCs w:val="32"/>
          <w:lang w:val="en-US" w:eastAsia="zh-CN" w:bidi="ar-SA"/>
        </w:rPr>
        <w:t>项目</w:t>
      </w:r>
      <w:r>
        <w:rPr>
          <w:rFonts w:hint="default" w:ascii="FangSong_GB2312" w:hAnsi="FangSong_GB2312" w:eastAsia="FangSong_GB2312" w:cs="FangSong_GB2312"/>
          <w:kern w:val="0"/>
          <w:sz w:val="32"/>
          <w:szCs w:val="32"/>
          <w:lang w:val="en-US" w:eastAsia="zh-CN" w:bidi="ar-SA"/>
        </w:rPr>
        <w:t>资金</w:t>
      </w:r>
      <w:r>
        <w:rPr>
          <w:rFonts w:hint="eastAsia" w:ascii="FangSong_GB2312" w:hAnsi="FangSong_GB2312" w:eastAsia="FangSong_GB2312" w:cs="FangSong_GB2312"/>
          <w:kern w:val="0"/>
          <w:sz w:val="32"/>
          <w:szCs w:val="32"/>
          <w:lang w:val="en-US" w:eastAsia="zh-CN" w:bidi="ar-SA"/>
        </w:rPr>
        <w:t>变动后预算数40</w:t>
      </w:r>
      <w:r>
        <w:rPr>
          <w:rFonts w:hint="default" w:ascii="FangSong_GB2312" w:hAnsi="FangSong_GB2312" w:eastAsia="FangSong_GB2312" w:cs="FangSong_GB2312"/>
          <w:kern w:val="0"/>
          <w:sz w:val="32"/>
          <w:szCs w:val="32"/>
          <w:lang w:val="en-US" w:eastAsia="zh-CN" w:bidi="ar-SA"/>
        </w:rPr>
        <w:t>万元，其中：财政拨款</w:t>
      </w:r>
      <w:r>
        <w:rPr>
          <w:rFonts w:hint="eastAsia" w:ascii="FangSong_GB2312" w:hAnsi="FangSong_GB2312" w:eastAsia="FangSong_GB2312" w:cs="FangSong_GB2312"/>
          <w:kern w:val="0"/>
          <w:sz w:val="32"/>
          <w:szCs w:val="32"/>
          <w:lang w:val="en-US" w:eastAsia="zh-CN" w:bidi="ar-SA"/>
        </w:rPr>
        <w:t>40</w:t>
      </w:r>
      <w:r>
        <w:rPr>
          <w:rFonts w:hint="default" w:ascii="FangSong_GB2312" w:hAnsi="FangSong_GB2312" w:eastAsia="FangSong_GB2312" w:cs="FangSong_GB2312"/>
          <w:kern w:val="0"/>
          <w:sz w:val="32"/>
          <w:szCs w:val="32"/>
          <w:lang w:val="en-US" w:eastAsia="zh-CN" w:bidi="ar-SA"/>
        </w:rPr>
        <w:t>万元，其他资金</w:t>
      </w:r>
      <w:r>
        <w:rPr>
          <w:rFonts w:hint="eastAsia" w:ascii="FangSong_GB2312" w:hAnsi="FangSong_GB2312" w:eastAsia="FangSong_GB2312" w:cs="FangSong_GB2312"/>
          <w:kern w:val="0"/>
          <w:sz w:val="32"/>
          <w:szCs w:val="32"/>
          <w:lang w:val="en-US" w:eastAsia="zh-CN" w:bidi="ar-SA"/>
        </w:rPr>
        <w:t>0</w:t>
      </w:r>
      <w:r>
        <w:rPr>
          <w:rFonts w:hint="default" w:ascii="FangSong_GB2312" w:hAnsi="FangSong_GB2312" w:eastAsia="FangSong_GB2312" w:cs="FangSong_GB2312"/>
          <w:kern w:val="0"/>
          <w:sz w:val="32"/>
          <w:szCs w:val="32"/>
          <w:lang w:val="en-US" w:eastAsia="zh-CN" w:bidi="ar-SA"/>
        </w:rPr>
        <w:t>万元。</w:t>
      </w:r>
    </w:p>
    <w:p w14:paraId="0BEF6534">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default" w:ascii="FangSong_GB2312" w:hAnsi="FangSong_GB2312" w:eastAsia="FangSong_GB2312" w:cs="FangSong_GB2312"/>
          <w:kern w:val="0"/>
          <w:sz w:val="32"/>
          <w:szCs w:val="32"/>
          <w:lang w:val="en-US" w:eastAsia="zh-CN" w:bidi="ar-SA"/>
        </w:rPr>
        <w:t>本</w:t>
      </w:r>
      <w:r>
        <w:rPr>
          <w:rFonts w:hint="eastAsia" w:ascii="FangSong_GB2312" w:hAnsi="FangSong_GB2312" w:eastAsia="FangSong_GB2312" w:cs="FangSong_GB2312"/>
          <w:kern w:val="0"/>
          <w:sz w:val="32"/>
          <w:szCs w:val="32"/>
          <w:lang w:val="en-US" w:eastAsia="zh-CN" w:bidi="ar-SA"/>
        </w:rPr>
        <w:t>项目</w:t>
      </w:r>
      <w:r>
        <w:rPr>
          <w:rFonts w:hint="default" w:ascii="FangSong_GB2312" w:hAnsi="FangSong_GB2312" w:eastAsia="FangSong_GB2312" w:cs="FangSong_GB2312"/>
          <w:kern w:val="0"/>
          <w:sz w:val="32"/>
          <w:szCs w:val="32"/>
          <w:lang w:val="en-US" w:eastAsia="zh-CN" w:bidi="ar-SA"/>
        </w:rPr>
        <w:t>资金全年执行数</w:t>
      </w:r>
      <w:r>
        <w:rPr>
          <w:rFonts w:hint="eastAsia" w:ascii="FangSong_GB2312" w:hAnsi="FangSong_GB2312" w:eastAsia="FangSong_GB2312" w:cs="FangSong_GB2312"/>
          <w:kern w:val="0"/>
          <w:sz w:val="32"/>
          <w:szCs w:val="32"/>
          <w:lang w:val="en-US" w:eastAsia="zh-CN" w:bidi="ar-SA"/>
        </w:rPr>
        <w:t>38.98</w:t>
      </w:r>
      <w:r>
        <w:rPr>
          <w:rFonts w:hint="default" w:ascii="FangSong_GB2312" w:hAnsi="FangSong_GB2312" w:eastAsia="FangSong_GB2312" w:cs="FangSong_GB2312"/>
          <w:kern w:val="0"/>
          <w:sz w:val="32"/>
          <w:szCs w:val="32"/>
          <w:lang w:val="en-US" w:eastAsia="zh-CN" w:bidi="ar-SA"/>
        </w:rPr>
        <w:t>万元</w:t>
      </w:r>
      <w:r>
        <w:rPr>
          <w:rFonts w:hint="eastAsia" w:ascii="FangSong_GB2312" w:hAnsi="FangSong_GB2312" w:eastAsia="FangSong_GB2312" w:cs="FangSong_GB2312"/>
          <w:kern w:val="0"/>
          <w:sz w:val="32"/>
          <w:szCs w:val="32"/>
          <w:lang w:val="en-US" w:eastAsia="zh-CN" w:bidi="ar-SA"/>
        </w:rPr>
        <w:t>、执行率为97.45%</w:t>
      </w:r>
      <w:r>
        <w:rPr>
          <w:rFonts w:hint="default" w:ascii="FangSong_GB2312" w:hAnsi="FangSong_GB2312" w:eastAsia="FangSong_GB2312" w:cs="FangSong_GB2312"/>
          <w:kern w:val="0"/>
          <w:sz w:val="32"/>
          <w:szCs w:val="32"/>
          <w:lang w:val="en-US" w:eastAsia="zh-CN" w:bidi="ar-SA"/>
        </w:rPr>
        <w:t>，其中：财政拨款</w:t>
      </w:r>
      <w:r>
        <w:rPr>
          <w:rFonts w:hint="eastAsia" w:ascii="FangSong_GB2312" w:hAnsi="FangSong_GB2312" w:eastAsia="FangSong_GB2312" w:cs="FangSong_GB2312"/>
          <w:kern w:val="0"/>
          <w:sz w:val="32"/>
          <w:szCs w:val="32"/>
          <w:lang w:val="en-US" w:eastAsia="zh-CN" w:bidi="ar-SA"/>
        </w:rPr>
        <w:t>38.98</w:t>
      </w:r>
      <w:r>
        <w:rPr>
          <w:rFonts w:hint="default" w:ascii="FangSong_GB2312" w:hAnsi="FangSong_GB2312" w:eastAsia="FangSong_GB2312" w:cs="FangSong_GB2312"/>
          <w:kern w:val="0"/>
          <w:sz w:val="32"/>
          <w:szCs w:val="32"/>
          <w:lang w:val="en-US" w:eastAsia="zh-CN" w:bidi="ar-SA"/>
        </w:rPr>
        <w:t>万元，其他资金</w:t>
      </w:r>
      <w:r>
        <w:rPr>
          <w:rFonts w:hint="eastAsia" w:ascii="FangSong_GB2312" w:hAnsi="FangSong_GB2312" w:eastAsia="FangSong_GB2312" w:cs="FangSong_GB2312"/>
          <w:kern w:val="0"/>
          <w:sz w:val="32"/>
          <w:szCs w:val="32"/>
          <w:lang w:val="en-US" w:eastAsia="zh-CN" w:bidi="ar-SA"/>
        </w:rPr>
        <w:t>0</w:t>
      </w:r>
      <w:r>
        <w:rPr>
          <w:rFonts w:hint="default" w:ascii="FangSong_GB2312" w:hAnsi="FangSong_GB2312" w:eastAsia="FangSong_GB2312" w:cs="FangSong_GB2312"/>
          <w:kern w:val="0"/>
          <w:sz w:val="32"/>
          <w:szCs w:val="32"/>
          <w:lang w:val="en-US" w:eastAsia="zh-CN" w:bidi="ar-SA"/>
        </w:rPr>
        <w:t>万元。</w:t>
      </w:r>
    </w:p>
    <w:p w14:paraId="10B69DE2">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default" w:ascii="FangSong_GB2312" w:hAnsi="FangSong_GB2312" w:eastAsia="FangSong_GB2312" w:cs="FangSong_GB2312"/>
          <w:kern w:val="0"/>
          <w:sz w:val="32"/>
          <w:szCs w:val="32"/>
          <w:lang w:val="en-US" w:eastAsia="zh-CN" w:bidi="ar-SA"/>
        </w:rPr>
        <w:t>（三）项目资金产出情况。</w:t>
      </w:r>
    </w:p>
    <w:p w14:paraId="4FE9B075">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xml:space="preserve"> 本年度市政公用事业保障业务经费预算总额为40万元，实际执行38.98万元，预算执行率97.45%。围绕城镇燃气安全、城市生活垃圾分类、水质检测三大核心任务，产出成效显著。具体如下：一是开展城镇燃气安全、城市生活垃圾分类培训；二是开展垃圾分类宣传启动仪式、进社区、进小区开展宣传；三是开展全市诚镇燃气安全隐患大排查整治工作；四是制作城镇燃气安全和城市是垃圾分类动画宣传视频；四是开展全市水质检测工作，共计支出38.98万元。</w:t>
      </w:r>
    </w:p>
    <w:p w14:paraId="759F5DA6">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default" w:ascii="FangSong_GB2312" w:hAnsi="FangSong_GB2312" w:eastAsia="FangSong_GB2312" w:cs="FangSong_GB2312"/>
          <w:kern w:val="0"/>
          <w:sz w:val="32"/>
          <w:szCs w:val="32"/>
          <w:lang w:val="en-US" w:eastAsia="zh-CN" w:bidi="ar-SA"/>
        </w:rPr>
        <w:t>（四）项目资金管理情况。</w:t>
      </w:r>
    </w:p>
    <w:p w14:paraId="6511E22F">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本年度严格按照财务管理制度、预算管理办法及市政公用事业经费相关管理规定，规范资金管理全流程，确保资金合规、高效、安全。一是强化预算管控，年初结合年度业务任务科学编制经费预算，明确预算支出范围、标准和时限，严格按照预算执行，杜绝无预算、超预算支出；二是规范支出审核，，所有经费支出均提供合法合规的财务凭证、合同协议、工作文件等作证材料，确保支出真实、合规。</w:t>
      </w:r>
    </w:p>
    <w:p w14:paraId="45913949">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三、项目绩效情况</w:t>
      </w:r>
    </w:p>
    <w:p w14:paraId="542FF942">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1.产出指标完成情况</w:t>
      </w:r>
    </w:p>
    <w:p w14:paraId="0EC00666">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（1）数量指标</w:t>
      </w:r>
    </w:p>
    <w:p w14:paraId="4C02EE21">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1）培训次数(次)，</w:t>
      </w:r>
      <w:r>
        <w:rPr>
          <w:rFonts w:hint="default" w:ascii="FangSong_GB2312" w:hAnsi="FangSong_GB2312" w:eastAsia="FangSong_GB2312" w:cs="FangSong_GB2312"/>
          <w:kern w:val="0"/>
          <w:sz w:val="32"/>
          <w:szCs w:val="32"/>
          <w:lang w:val="en-US" w:eastAsia="zh-CN" w:bidi="ar-SA"/>
        </w:rPr>
        <w:t>目标值</w:t>
      </w:r>
      <w:r>
        <w:rPr>
          <w:rFonts w:hint="eastAsia" w:ascii="FangSong_GB2312" w:hAnsi="FangSong_GB2312" w:eastAsia="FangSong_GB2312" w:cs="FangSong_GB2312"/>
          <w:kern w:val="0"/>
          <w:sz w:val="32"/>
          <w:szCs w:val="32"/>
          <w:lang w:val="en-US" w:eastAsia="zh-CN" w:bidi="ar-SA"/>
        </w:rPr>
        <w:t>2</w:t>
      </w:r>
      <w:r>
        <w:rPr>
          <w:rFonts w:hint="default" w:ascii="FangSong_GB2312" w:hAnsi="FangSong_GB2312" w:eastAsia="FangSong_GB2312" w:cs="FangSong_GB2312"/>
          <w:kern w:val="0"/>
          <w:sz w:val="32"/>
          <w:szCs w:val="32"/>
          <w:lang w:val="en-US" w:eastAsia="zh-CN" w:bidi="ar-SA"/>
        </w:rPr>
        <w:t>，完成值</w:t>
      </w:r>
      <w:r>
        <w:rPr>
          <w:rFonts w:hint="eastAsia" w:ascii="FangSong_GB2312" w:hAnsi="FangSong_GB2312" w:eastAsia="FangSong_GB2312" w:cs="FangSong_GB2312"/>
          <w:kern w:val="0"/>
          <w:sz w:val="32"/>
          <w:szCs w:val="32"/>
          <w:lang w:val="en-US" w:eastAsia="zh-CN" w:bidi="ar-SA"/>
        </w:rPr>
        <w:t>2</w:t>
      </w:r>
      <w:r>
        <w:rPr>
          <w:rFonts w:hint="default" w:ascii="FangSong_GB2312" w:hAnsi="FangSong_GB2312" w:eastAsia="FangSong_GB2312" w:cs="FangSong_GB2312"/>
          <w:kern w:val="0"/>
          <w:sz w:val="32"/>
          <w:szCs w:val="32"/>
          <w:lang w:val="en-US" w:eastAsia="zh-CN" w:bidi="ar-SA"/>
        </w:rPr>
        <w:t>，分值</w:t>
      </w:r>
      <w:r>
        <w:rPr>
          <w:rFonts w:hint="eastAsia" w:ascii="FangSong_GB2312" w:hAnsi="FangSong_GB2312" w:eastAsia="FangSong_GB2312" w:cs="FangSong_GB2312"/>
          <w:kern w:val="0"/>
          <w:sz w:val="32"/>
          <w:szCs w:val="32"/>
          <w:lang w:val="en-US" w:eastAsia="zh-CN" w:bidi="ar-SA"/>
        </w:rPr>
        <w:t>10</w:t>
      </w:r>
      <w:r>
        <w:rPr>
          <w:rFonts w:hint="default" w:ascii="FangSong_GB2312" w:hAnsi="FangSong_GB2312" w:eastAsia="FangSong_GB2312" w:cs="FangSong_GB2312"/>
          <w:kern w:val="0"/>
          <w:sz w:val="32"/>
          <w:szCs w:val="32"/>
          <w:lang w:val="en-US" w:eastAsia="zh-CN" w:bidi="ar-SA"/>
        </w:rPr>
        <w:t>，得分</w:t>
      </w:r>
      <w:r>
        <w:rPr>
          <w:rFonts w:hint="eastAsia" w:ascii="FangSong_GB2312" w:hAnsi="FangSong_GB2312" w:eastAsia="FangSong_GB2312" w:cs="FangSong_GB2312"/>
          <w:kern w:val="0"/>
          <w:sz w:val="32"/>
          <w:szCs w:val="32"/>
          <w:lang w:val="en-US" w:eastAsia="zh-CN" w:bidi="ar-SA"/>
        </w:rPr>
        <w:t>10</w:t>
      </w:r>
      <w:r>
        <w:rPr>
          <w:rFonts w:hint="default" w:ascii="FangSong_GB2312" w:hAnsi="FangSong_GB2312" w:eastAsia="FangSong_GB2312" w:cs="FangSong_GB2312"/>
          <w:kern w:val="0"/>
          <w:sz w:val="32"/>
          <w:szCs w:val="32"/>
          <w:lang w:val="en-US" w:eastAsia="zh-CN" w:bidi="ar-SA"/>
        </w:rPr>
        <w:t>。</w:t>
      </w:r>
    </w:p>
    <w:p w14:paraId="44AC8452">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2）培训天数(天)，</w:t>
      </w:r>
      <w:r>
        <w:rPr>
          <w:rFonts w:hint="default" w:ascii="FangSong_GB2312" w:hAnsi="FangSong_GB2312" w:eastAsia="FangSong_GB2312" w:cs="FangSong_GB2312"/>
          <w:kern w:val="0"/>
          <w:sz w:val="32"/>
          <w:szCs w:val="32"/>
          <w:lang w:val="en-US" w:eastAsia="zh-CN" w:bidi="ar-SA"/>
        </w:rPr>
        <w:t>目标值</w:t>
      </w:r>
      <w:r>
        <w:rPr>
          <w:rFonts w:hint="eastAsia" w:ascii="FangSong_GB2312" w:hAnsi="FangSong_GB2312" w:eastAsia="FangSong_GB2312" w:cs="FangSong_GB2312"/>
          <w:kern w:val="0"/>
          <w:sz w:val="32"/>
          <w:szCs w:val="32"/>
          <w:lang w:val="en-US" w:eastAsia="zh-CN" w:bidi="ar-SA"/>
        </w:rPr>
        <w:t>2</w:t>
      </w:r>
      <w:r>
        <w:rPr>
          <w:rFonts w:hint="default" w:ascii="FangSong_GB2312" w:hAnsi="FangSong_GB2312" w:eastAsia="FangSong_GB2312" w:cs="FangSong_GB2312"/>
          <w:kern w:val="0"/>
          <w:sz w:val="32"/>
          <w:szCs w:val="32"/>
          <w:lang w:val="en-US" w:eastAsia="zh-CN" w:bidi="ar-SA"/>
        </w:rPr>
        <w:t>，完成值</w:t>
      </w:r>
      <w:r>
        <w:rPr>
          <w:rFonts w:hint="eastAsia" w:ascii="FangSong_GB2312" w:hAnsi="FangSong_GB2312" w:eastAsia="FangSong_GB2312" w:cs="FangSong_GB2312"/>
          <w:kern w:val="0"/>
          <w:sz w:val="32"/>
          <w:szCs w:val="32"/>
          <w:lang w:val="en-US" w:eastAsia="zh-CN" w:bidi="ar-SA"/>
        </w:rPr>
        <w:t>2</w:t>
      </w:r>
      <w:r>
        <w:rPr>
          <w:rFonts w:hint="default" w:ascii="FangSong_GB2312" w:hAnsi="FangSong_GB2312" w:eastAsia="FangSong_GB2312" w:cs="FangSong_GB2312"/>
          <w:kern w:val="0"/>
          <w:sz w:val="32"/>
          <w:szCs w:val="32"/>
          <w:lang w:val="en-US" w:eastAsia="zh-CN" w:bidi="ar-SA"/>
        </w:rPr>
        <w:t>，分值</w:t>
      </w:r>
      <w:r>
        <w:rPr>
          <w:rFonts w:hint="eastAsia" w:ascii="FangSong_GB2312" w:hAnsi="FangSong_GB2312" w:eastAsia="FangSong_GB2312" w:cs="FangSong_GB2312"/>
          <w:kern w:val="0"/>
          <w:sz w:val="32"/>
          <w:szCs w:val="32"/>
          <w:lang w:val="en-US" w:eastAsia="zh-CN" w:bidi="ar-SA"/>
        </w:rPr>
        <w:t>5</w:t>
      </w:r>
      <w:r>
        <w:rPr>
          <w:rFonts w:hint="default" w:ascii="FangSong_GB2312" w:hAnsi="FangSong_GB2312" w:eastAsia="FangSong_GB2312" w:cs="FangSong_GB2312"/>
          <w:kern w:val="0"/>
          <w:sz w:val="32"/>
          <w:szCs w:val="32"/>
          <w:lang w:val="en-US" w:eastAsia="zh-CN" w:bidi="ar-SA"/>
        </w:rPr>
        <w:t>，得分</w:t>
      </w:r>
      <w:r>
        <w:rPr>
          <w:rFonts w:hint="eastAsia" w:ascii="FangSong_GB2312" w:hAnsi="FangSong_GB2312" w:eastAsia="FangSong_GB2312" w:cs="FangSong_GB2312"/>
          <w:kern w:val="0"/>
          <w:sz w:val="32"/>
          <w:szCs w:val="32"/>
          <w:lang w:val="en-US" w:eastAsia="zh-CN" w:bidi="ar-SA"/>
        </w:rPr>
        <w:t>5</w:t>
      </w:r>
      <w:r>
        <w:rPr>
          <w:rFonts w:hint="default" w:ascii="FangSong_GB2312" w:hAnsi="FangSong_GB2312" w:eastAsia="FangSong_GB2312" w:cs="FangSong_GB2312"/>
          <w:kern w:val="0"/>
          <w:sz w:val="32"/>
          <w:szCs w:val="32"/>
          <w:lang w:val="en-US" w:eastAsia="zh-CN" w:bidi="ar-SA"/>
        </w:rPr>
        <w:t>。</w:t>
      </w:r>
    </w:p>
    <w:p w14:paraId="5B34EDFA">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（2）质量指标</w:t>
      </w:r>
    </w:p>
    <w:p w14:paraId="2C99CB50">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1）排查整改情况(%)，</w:t>
      </w:r>
      <w:r>
        <w:rPr>
          <w:rFonts w:hint="default" w:ascii="FangSong_GB2312" w:hAnsi="FangSong_GB2312" w:eastAsia="FangSong_GB2312" w:cs="FangSong_GB2312"/>
          <w:kern w:val="0"/>
          <w:sz w:val="32"/>
          <w:szCs w:val="32"/>
          <w:lang w:val="en-US" w:eastAsia="zh-CN" w:bidi="ar-SA"/>
        </w:rPr>
        <w:t>目标值</w:t>
      </w:r>
      <w:r>
        <w:rPr>
          <w:rFonts w:hint="eastAsia" w:ascii="FangSong_GB2312" w:hAnsi="FangSong_GB2312" w:eastAsia="FangSong_GB2312" w:cs="FangSong_GB2312"/>
          <w:kern w:val="0"/>
          <w:sz w:val="32"/>
          <w:szCs w:val="32"/>
          <w:lang w:val="en-US" w:eastAsia="zh-CN" w:bidi="ar-SA"/>
        </w:rPr>
        <w:t>95</w:t>
      </w:r>
      <w:r>
        <w:rPr>
          <w:rFonts w:hint="default" w:ascii="FangSong_GB2312" w:hAnsi="FangSong_GB2312" w:eastAsia="FangSong_GB2312" w:cs="FangSong_GB2312"/>
          <w:kern w:val="0"/>
          <w:sz w:val="32"/>
          <w:szCs w:val="32"/>
          <w:lang w:val="en-US" w:eastAsia="zh-CN" w:bidi="ar-SA"/>
        </w:rPr>
        <w:t>，完成值</w:t>
      </w:r>
      <w:r>
        <w:rPr>
          <w:rFonts w:hint="eastAsia" w:ascii="FangSong_GB2312" w:hAnsi="FangSong_GB2312" w:eastAsia="FangSong_GB2312" w:cs="FangSong_GB2312"/>
          <w:kern w:val="0"/>
          <w:sz w:val="32"/>
          <w:szCs w:val="32"/>
          <w:lang w:val="en-US" w:eastAsia="zh-CN" w:bidi="ar-SA"/>
        </w:rPr>
        <w:t>95</w:t>
      </w:r>
      <w:r>
        <w:rPr>
          <w:rFonts w:hint="default" w:ascii="FangSong_GB2312" w:hAnsi="FangSong_GB2312" w:eastAsia="FangSong_GB2312" w:cs="FangSong_GB2312"/>
          <w:kern w:val="0"/>
          <w:sz w:val="32"/>
          <w:szCs w:val="32"/>
          <w:lang w:val="en-US" w:eastAsia="zh-CN" w:bidi="ar-SA"/>
        </w:rPr>
        <w:t>，分值</w:t>
      </w:r>
      <w:r>
        <w:rPr>
          <w:rFonts w:hint="eastAsia" w:ascii="FangSong_GB2312" w:hAnsi="FangSong_GB2312" w:eastAsia="FangSong_GB2312" w:cs="FangSong_GB2312"/>
          <w:kern w:val="0"/>
          <w:sz w:val="32"/>
          <w:szCs w:val="32"/>
          <w:lang w:val="en-US" w:eastAsia="zh-CN" w:bidi="ar-SA"/>
        </w:rPr>
        <w:t>5</w:t>
      </w:r>
      <w:r>
        <w:rPr>
          <w:rFonts w:hint="default" w:ascii="FangSong_GB2312" w:hAnsi="FangSong_GB2312" w:eastAsia="FangSong_GB2312" w:cs="FangSong_GB2312"/>
          <w:kern w:val="0"/>
          <w:sz w:val="32"/>
          <w:szCs w:val="32"/>
          <w:lang w:val="en-US" w:eastAsia="zh-CN" w:bidi="ar-SA"/>
        </w:rPr>
        <w:t>，得分</w:t>
      </w:r>
      <w:r>
        <w:rPr>
          <w:rFonts w:hint="eastAsia" w:ascii="FangSong_GB2312" w:hAnsi="FangSong_GB2312" w:eastAsia="FangSong_GB2312" w:cs="FangSong_GB2312"/>
          <w:kern w:val="0"/>
          <w:sz w:val="32"/>
          <w:szCs w:val="32"/>
          <w:lang w:val="en-US" w:eastAsia="zh-CN" w:bidi="ar-SA"/>
        </w:rPr>
        <w:t>5</w:t>
      </w:r>
      <w:r>
        <w:rPr>
          <w:rFonts w:hint="default" w:ascii="FangSong_GB2312" w:hAnsi="FangSong_GB2312" w:eastAsia="FangSong_GB2312" w:cs="FangSong_GB2312"/>
          <w:kern w:val="0"/>
          <w:sz w:val="32"/>
          <w:szCs w:val="32"/>
          <w:lang w:val="en-US" w:eastAsia="zh-CN" w:bidi="ar-SA"/>
        </w:rPr>
        <w:t>。</w:t>
      </w:r>
    </w:p>
    <w:p w14:paraId="4614425B">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2）培训覆盖率(%)，</w:t>
      </w:r>
      <w:r>
        <w:rPr>
          <w:rFonts w:hint="default" w:ascii="FangSong_GB2312" w:hAnsi="FangSong_GB2312" w:eastAsia="FangSong_GB2312" w:cs="FangSong_GB2312"/>
          <w:kern w:val="0"/>
          <w:sz w:val="32"/>
          <w:szCs w:val="32"/>
          <w:lang w:val="en-US" w:eastAsia="zh-CN" w:bidi="ar-SA"/>
        </w:rPr>
        <w:t>目标值</w:t>
      </w:r>
      <w:r>
        <w:rPr>
          <w:rFonts w:hint="eastAsia" w:ascii="FangSong_GB2312" w:hAnsi="FangSong_GB2312" w:eastAsia="FangSong_GB2312" w:cs="FangSong_GB2312"/>
          <w:kern w:val="0"/>
          <w:sz w:val="32"/>
          <w:szCs w:val="32"/>
          <w:lang w:val="en-US" w:eastAsia="zh-CN" w:bidi="ar-SA"/>
        </w:rPr>
        <w:t>95</w:t>
      </w:r>
      <w:r>
        <w:rPr>
          <w:rFonts w:hint="default" w:ascii="FangSong_GB2312" w:hAnsi="FangSong_GB2312" w:eastAsia="FangSong_GB2312" w:cs="FangSong_GB2312"/>
          <w:kern w:val="0"/>
          <w:sz w:val="32"/>
          <w:szCs w:val="32"/>
          <w:lang w:val="en-US" w:eastAsia="zh-CN" w:bidi="ar-SA"/>
        </w:rPr>
        <w:t>，完成值</w:t>
      </w:r>
      <w:r>
        <w:rPr>
          <w:rFonts w:hint="eastAsia" w:ascii="FangSong_GB2312" w:hAnsi="FangSong_GB2312" w:eastAsia="FangSong_GB2312" w:cs="FangSong_GB2312"/>
          <w:kern w:val="0"/>
          <w:sz w:val="32"/>
          <w:szCs w:val="32"/>
          <w:lang w:val="en-US" w:eastAsia="zh-CN" w:bidi="ar-SA"/>
        </w:rPr>
        <w:t>95</w:t>
      </w:r>
      <w:r>
        <w:rPr>
          <w:rFonts w:hint="default" w:ascii="FangSong_GB2312" w:hAnsi="FangSong_GB2312" w:eastAsia="FangSong_GB2312" w:cs="FangSong_GB2312"/>
          <w:kern w:val="0"/>
          <w:sz w:val="32"/>
          <w:szCs w:val="32"/>
          <w:lang w:val="en-US" w:eastAsia="zh-CN" w:bidi="ar-SA"/>
        </w:rPr>
        <w:t>，分值</w:t>
      </w:r>
      <w:r>
        <w:rPr>
          <w:rFonts w:hint="eastAsia" w:ascii="FangSong_GB2312" w:hAnsi="FangSong_GB2312" w:eastAsia="FangSong_GB2312" w:cs="FangSong_GB2312"/>
          <w:kern w:val="0"/>
          <w:sz w:val="32"/>
          <w:szCs w:val="32"/>
          <w:lang w:val="en-US" w:eastAsia="zh-CN" w:bidi="ar-SA"/>
        </w:rPr>
        <w:t>10</w:t>
      </w:r>
      <w:r>
        <w:rPr>
          <w:rFonts w:hint="default" w:ascii="FangSong_GB2312" w:hAnsi="FangSong_GB2312" w:eastAsia="FangSong_GB2312" w:cs="FangSong_GB2312"/>
          <w:kern w:val="0"/>
          <w:sz w:val="32"/>
          <w:szCs w:val="32"/>
          <w:lang w:val="en-US" w:eastAsia="zh-CN" w:bidi="ar-SA"/>
        </w:rPr>
        <w:t>，得分</w:t>
      </w:r>
      <w:r>
        <w:rPr>
          <w:rFonts w:hint="eastAsia" w:ascii="FangSong_GB2312" w:hAnsi="FangSong_GB2312" w:eastAsia="FangSong_GB2312" w:cs="FangSong_GB2312"/>
          <w:kern w:val="0"/>
          <w:sz w:val="32"/>
          <w:szCs w:val="32"/>
          <w:lang w:val="en-US" w:eastAsia="zh-CN" w:bidi="ar-SA"/>
        </w:rPr>
        <w:t>9</w:t>
      </w:r>
      <w:r>
        <w:rPr>
          <w:rFonts w:hint="default" w:ascii="FangSong_GB2312" w:hAnsi="FangSong_GB2312" w:eastAsia="FangSong_GB2312" w:cs="FangSong_GB2312"/>
          <w:kern w:val="0"/>
          <w:sz w:val="32"/>
          <w:szCs w:val="32"/>
          <w:lang w:val="en-US" w:eastAsia="zh-CN" w:bidi="ar-SA"/>
        </w:rPr>
        <w:t>。</w:t>
      </w:r>
    </w:p>
    <w:p w14:paraId="45EA6781">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（3）时效指标</w:t>
      </w:r>
    </w:p>
    <w:p w14:paraId="6EAAC648">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1）培训截止日期，</w:t>
      </w:r>
      <w:r>
        <w:rPr>
          <w:rFonts w:hint="default" w:ascii="FangSong_GB2312" w:hAnsi="FangSong_GB2312" w:eastAsia="FangSong_GB2312" w:cs="FangSong_GB2312"/>
          <w:kern w:val="0"/>
          <w:sz w:val="32"/>
          <w:szCs w:val="32"/>
          <w:lang w:val="en-US" w:eastAsia="zh-CN" w:bidi="ar-SA"/>
        </w:rPr>
        <w:t>目标值</w:t>
      </w:r>
      <w:r>
        <w:rPr>
          <w:rFonts w:hint="eastAsia" w:ascii="FangSong_GB2312" w:hAnsi="FangSong_GB2312" w:eastAsia="FangSong_GB2312" w:cs="FangSong_GB2312"/>
          <w:kern w:val="0"/>
          <w:sz w:val="32"/>
          <w:szCs w:val="32"/>
          <w:lang w:val="en-US" w:eastAsia="zh-CN" w:bidi="ar-SA"/>
        </w:rPr>
        <w:t>2025年12月31日前</w:t>
      </w:r>
      <w:r>
        <w:rPr>
          <w:rFonts w:hint="default" w:ascii="FangSong_GB2312" w:hAnsi="FangSong_GB2312" w:eastAsia="FangSong_GB2312" w:cs="FangSong_GB2312"/>
          <w:kern w:val="0"/>
          <w:sz w:val="32"/>
          <w:szCs w:val="32"/>
          <w:lang w:val="en-US" w:eastAsia="zh-CN" w:bidi="ar-SA"/>
        </w:rPr>
        <w:t>，完成值</w:t>
      </w:r>
      <w:r>
        <w:rPr>
          <w:rFonts w:hint="eastAsia" w:ascii="FangSong_GB2312" w:hAnsi="FangSong_GB2312" w:eastAsia="FangSong_GB2312" w:cs="FangSong_GB2312"/>
          <w:kern w:val="0"/>
          <w:sz w:val="32"/>
          <w:szCs w:val="32"/>
          <w:lang w:val="en-US" w:eastAsia="zh-CN" w:bidi="ar-SA"/>
        </w:rPr>
        <w:t>已完成</w:t>
      </w:r>
      <w:r>
        <w:rPr>
          <w:rFonts w:hint="default" w:ascii="FangSong_GB2312" w:hAnsi="FangSong_GB2312" w:eastAsia="FangSong_GB2312" w:cs="FangSong_GB2312"/>
          <w:kern w:val="0"/>
          <w:sz w:val="32"/>
          <w:szCs w:val="32"/>
          <w:lang w:val="en-US" w:eastAsia="zh-CN" w:bidi="ar-SA"/>
        </w:rPr>
        <w:t>，分值</w:t>
      </w:r>
      <w:r>
        <w:rPr>
          <w:rFonts w:hint="eastAsia" w:ascii="FangSong_GB2312" w:hAnsi="FangSong_GB2312" w:eastAsia="FangSong_GB2312" w:cs="FangSong_GB2312"/>
          <w:kern w:val="0"/>
          <w:sz w:val="32"/>
          <w:szCs w:val="32"/>
          <w:lang w:val="en-US" w:eastAsia="zh-CN" w:bidi="ar-SA"/>
        </w:rPr>
        <w:t>5</w:t>
      </w:r>
      <w:r>
        <w:rPr>
          <w:rFonts w:hint="default" w:ascii="FangSong_GB2312" w:hAnsi="FangSong_GB2312" w:eastAsia="FangSong_GB2312" w:cs="FangSong_GB2312"/>
          <w:kern w:val="0"/>
          <w:sz w:val="32"/>
          <w:szCs w:val="32"/>
          <w:lang w:val="en-US" w:eastAsia="zh-CN" w:bidi="ar-SA"/>
        </w:rPr>
        <w:t>，得分</w:t>
      </w:r>
      <w:r>
        <w:rPr>
          <w:rFonts w:hint="eastAsia" w:ascii="FangSong_GB2312" w:hAnsi="FangSong_GB2312" w:eastAsia="FangSong_GB2312" w:cs="FangSong_GB2312"/>
          <w:kern w:val="0"/>
          <w:sz w:val="32"/>
          <w:szCs w:val="32"/>
          <w:lang w:val="en-US" w:eastAsia="zh-CN" w:bidi="ar-SA"/>
        </w:rPr>
        <w:t>5</w:t>
      </w:r>
      <w:r>
        <w:rPr>
          <w:rFonts w:hint="default" w:ascii="FangSong_GB2312" w:hAnsi="FangSong_GB2312" w:eastAsia="FangSong_GB2312" w:cs="FangSong_GB2312"/>
          <w:kern w:val="0"/>
          <w:sz w:val="32"/>
          <w:szCs w:val="32"/>
          <w:lang w:val="en-US" w:eastAsia="zh-CN" w:bidi="ar-SA"/>
        </w:rPr>
        <w:t>。</w:t>
      </w:r>
    </w:p>
    <w:p w14:paraId="33CB72BB">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2）培训及时率(%)，</w:t>
      </w:r>
      <w:r>
        <w:rPr>
          <w:rFonts w:hint="default" w:ascii="FangSong_GB2312" w:hAnsi="FangSong_GB2312" w:eastAsia="FangSong_GB2312" w:cs="FangSong_GB2312"/>
          <w:kern w:val="0"/>
          <w:sz w:val="32"/>
          <w:szCs w:val="32"/>
          <w:lang w:val="en-US" w:eastAsia="zh-CN" w:bidi="ar-SA"/>
        </w:rPr>
        <w:t>目标值</w:t>
      </w:r>
      <w:r>
        <w:rPr>
          <w:rFonts w:hint="eastAsia" w:ascii="FangSong_GB2312" w:hAnsi="FangSong_GB2312" w:eastAsia="FangSong_GB2312" w:cs="FangSong_GB2312"/>
          <w:kern w:val="0"/>
          <w:sz w:val="32"/>
          <w:szCs w:val="32"/>
          <w:lang w:val="en-US" w:eastAsia="zh-CN" w:bidi="ar-SA"/>
        </w:rPr>
        <w:t>95</w:t>
      </w:r>
      <w:r>
        <w:rPr>
          <w:rFonts w:hint="default" w:ascii="FangSong_GB2312" w:hAnsi="FangSong_GB2312" w:eastAsia="FangSong_GB2312" w:cs="FangSong_GB2312"/>
          <w:kern w:val="0"/>
          <w:sz w:val="32"/>
          <w:szCs w:val="32"/>
          <w:lang w:val="en-US" w:eastAsia="zh-CN" w:bidi="ar-SA"/>
        </w:rPr>
        <w:t>，完成值</w:t>
      </w:r>
      <w:r>
        <w:rPr>
          <w:rFonts w:hint="eastAsia" w:ascii="FangSong_GB2312" w:hAnsi="FangSong_GB2312" w:eastAsia="FangSong_GB2312" w:cs="FangSong_GB2312"/>
          <w:kern w:val="0"/>
          <w:sz w:val="32"/>
          <w:szCs w:val="32"/>
          <w:lang w:val="en-US" w:eastAsia="zh-CN" w:bidi="ar-SA"/>
        </w:rPr>
        <w:t>95</w:t>
      </w:r>
      <w:r>
        <w:rPr>
          <w:rFonts w:hint="default" w:ascii="FangSong_GB2312" w:hAnsi="FangSong_GB2312" w:eastAsia="FangSong_GB2312" w:cs="FangSong_GB2312"/>
          <w:kern w:val="0"/>
          <w:sz w:val="32"/>
          <w:szCs w:val="32"/>
          <w:lang w:val="en-US" w:eastAsia="zh-CN" w:bidi="ar-SA"/>
        </w:rPr>
        <w:t>，分值</w:t>
      </w:r>
      <w:r>
        <w:rPr>
          <w:rFonts w:hint="eastAsia" w:ascii="FangSong_GB2312" w:hAnsi="FangSong_GB2312" w:eastAsia="FangSong_GB2312" w:cs="FangSong_GB2312"/>
          <w:kern w:val="0"/>
          <w:sz w:val="32"/>
          <w:szCs w:val="32"/>
          <w:lang w:val="en-US" w:eastAsia="zh-CN" w:bidi="ar-SA"/>
        </w:rPr>
        <w:t>5</w:t>
      </w:r>
      <w:r>
        <w:rPr>
          <w:rFonts w:hint="default" w:ascii="FangSong_GB2312" w:hAnsi="FangSong_GB2312" w:eastAsia="FangSong_GB2312" w:cs="FangSong_GB2312"/>
          <w:kern w:val="0"/>
          <w:sz w:val="32"/>
          <w:szCs w:val="32"/>
          <w:lang w:val="en-US" w:eastAsia="zh-CN" w:bidi="ar-SA"/>
        </w:rPr>
        <w:t>，得分</w:t>
      </w:r>
      <w:r>
        <w:rPr>
          <w:rFonts w:hint="eastAsia" w:ascii="FangSong_GB2312" w:hAnsi="FangSong_GB2312" w:eastAsia="FangSong_GB2312" w:cs="FangSong_GB2312"/>
          <w:kern w:val="0"/>
          <w:sz w:val="32"/>
          <w:szCs w:val="32"/>
          <w:lang w:val="en-US" w:eastAsia="zh-CN" w:bidi="ar-SA"/>
        </w:rPr>
        <w:t>5</w:t>
      </w:r>
      <w:r>
        <w:rPr>
          <w:rFonts w:hint="default" w:ascii="FangSong_GB2312" w:hAnsi="FangSong_GB2312" w:eastAsia="FangSong_GB2312" w:cs="FangSong_GB2312"/>
          <w:kern w:val="0"/>
          <w:sz w:val="32"/>
          <w:szCs w:val="32"/>
          <w:lang w:val="en-US" w:eastAsia="zh-CN" w:bidi="ar-SA"/>
        </w:rPr>
        <w:t>。</w:t>
      </w:r>
    </w:p>
    <w:p w14:paraId="59FFD914">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（4）成本指标</w:t>
      </w:r>
    </w:p>
    <w:p w14:paraId="56412E26">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1）差旅费用(元/次/人)，</w:t>
      </w:r>
      <w:r>
        <w:rPr>
          <w:rFonts w:hint="default" w:ascii="FangSong_GB2312" w:hAnsi="FangSong_GB2312" w:eastAsia="FangSong_GB2312" w:cs="FangSong_GB2312"/>
          <w:kern w:val="0"/>
          <w:sz w:val="32"/>
          <w:szCs w:val="32"/>
          <w:lang w:val="en-US" w:eastAsia="zh-CN" w:bidi="ar-SA"/>
        </w:rPr>
        <w:t>目标值</w:t>
      </w:r>
      <w:r>
        <w:rPr>
          <w:rFonts w:hint="eastAsia" w:ascii="FangSong_GB2312" w:hAnsi="FangSong_GB2312" w:eastAsia="FangSong_GB2312" w:cs="FangSong_GB2312"/>
          <w:kern w:val="0"/>
          <w:sz w:val="32"/>
          <w:szCs w:val="32"/>
          <w:lang w:val="en-US" w:eastAsia="zh-CN" w:bidi="ar-SA"/>
        </w:rPr>
        <w:t>1000</w:t>
      </w:r>
      <w:r>
        <w:rPr>
          <w:rFonts w:hint="default" w:ascii="FangSong_GB2312" w:hAnsi="FangSong_GB2312" w:eastAsia="FangSong_GB2312" w:cs="FangSong_GB2312"/>
          <w:kern w:val="0"/>
          <w:sz w:val="32"/>
          <w:szCs w:val="32"/>
          <w:lang w:val="en-US" w:eastAsia="zh-CN" w:bidi="ar-SA"/>
        </w:rPr>
        <w:t>，完成值</w:t>
      </w:r>
      <w:r>
        <w:rPr>
          <w:rFonts w:hint="eastAsia" w:ascii="FangSong_GB2312" w:hAnsi="FangSong_GB2312" w:eastAsia="FangSong_GB2312" w:cs="FangSong_GB2312"/>
          <w:kern w:val="0"/>
          <w:sz w:val="32"/>
          <w:szCs w:val="32"/>
          <w:lang w:val="en-US" w:eastAsia="zh-CN" w:bidi="ar-SA"/>
        </w:rPr>
        <w:t>1000</w:t>
      </w:r>
      <w:r>
        <w:rPr>
          <w:rFonts w:hint="default" w:ascii="FangSong_GB2312" w:hAnsi="FangSong_GB2312" w:eastAsia="FangSong_GB2312" w:cs="FangSong_GB2312"/>
          <w:kern w:val="0"/>
          <w:sz w:val="32"/>
          <w:szCs w:val="32"/>
          <w:lang w:val="en-US" w:eastAsia="zh-CN" w:bidi="ar-SA"/>
        </w:rPr>
        <w:t>，分值</w:t>
      </w:r>
      <w:r>
        <w:rPr>
          <w:rFonts w:hint="eastAsia" w:ascii="FangSong_GB2312" w:hAnsi="FangSong_GB2312" w:eastAsia="FangSong_GB2312" w:cs="FangSong_GB2312"/>
          <w:kern w:val="0"/>
          <w:sz w:val="32"/>
          <w:szCs w:val="32"/>
          <w:lang w:val="en-US" w:eastAsia="zh-CN" w:bidi="ar-SA"/>
        </w:rPr>
        <w:t>5</w:t>
      </w:r>
      <w:r>
        <w:rPr>
          <w:rFonts w:hint="default" w:ascii="FangSong_GB2312" w:hAnsi="FangSong_GB2312" w:eastAsia="FangSong_GB2312" w:cs="FangSong_GB2312"/>
          <w:kern w:val="0"/>
          <w:sz w:val="32"/>
          <w:szCs w:val="32"/>
          <w:lang w:val="en-US" w:eastAsia="zh-CN" w:bidi="ar-SA"/>
        </w:rPr>
        <w:t>，得分</w:t>
      </w:r>
      <w:r>
        <w:rPr>
          <w:rFonts w:hint="eastAsia" w:ascii="FangSong_GB2312" w:hAnsi="FangSong_GB2312" w:eastAsia="FangSong_GB2312" w:cs="FangSong_GB2312"/>
          <w:kern w:val="0"/>
          <w:sz w:val="32"/>
          <w:szCs w:val="32"/>
          <w:lang w:val="en-US" w:eastAsia="zh-CN" w:bidi="ar-SA"/>
        </w:rPr>
        <w:t>5</w:t>
      </w:r>
      <w:r>
        <w:rPr>
          <w:rFonts w:hint="default" w:ascii="FangSong_GB2312" w:hAnsi="FangSong_GB2312" w:eastAsia="FangSong_GB2312" w:cs="FangSong_GB2312"/>
          <w:kern w:val="0"/>
          <w:sz w:val="32"/>
          <w:szCs w:val="32"/>
          <w:lang w:val="en-US" w:eastAsia="zh-CN" w:bidi="ar-SA"/>
        </w:rPr>
        <w:t>。</w:t>
      </w:r>
    </w:p>
    <w:p w14:paraId="5B9A8826">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2）租车费用(元/次)，</w:t>
      </w:r>
      <w:r>
        <w:rPr>
          <w:rFonts w:hint="default" w:ascii="FangSong_GB2312" w:hAnsi="FangSong_GB2312" w:eastAsia="FangSong_GB2312" w:cs="FangSong_GB2312"/>
          <w:kern w:val="0"/>
          <w:sz w:val="32"/>
          <w:szCs w:val="32"/>
          <w:lang w:val="en-US" w:eastAsia="zh-CN" w:bidi="ar-SA"/>
        </w:rPr>
        <w:t>目标值</w:t>
      </w:r>
      <w:r>
        <w:rPr>
          <w:rFonts w:hint="eastAsia" w:ascii="FangSong_GB2312" w:hAnsi="FangSong_GB2312" w:eastAsia="FangSong_GB2312" w:cs="FangSong_GB2312"/>
          <w:kern w:val="0"/>
          <w:sz w:val="32"/>
          <w:szCs w:val="32"/>
          <w:lang w:val="en-US" w:eastAsia="zh-CN" w:bidi="ar-SA"/>
        </w:rPr>
        <w:t>1500</w:t>
      </w:r>
      <w:r>
        <w:rPr>
          <w:rFonts w:hint="default" w:ascii="FangSong_GB2312" w:hAnsi="FangSong_GB2312" w:eastAsia="FangSong_GB2312" w:cs="FangSong_GB2312"/>
          <w:kern w:val="0"/>
          <w:sz w:val="32"/>
          <w:szCs w:val="32"/>
          <w:lang w:val="en-US" w:eastAsia="zh-CN" w:bidi="ar-SA"/>
        </w:rPr>
        <w:t>，完成值</w:t>
      </w:r>
      <w:r>
        <w:rPr>
          <w:rFonts w:hint="eastAsia" w:ascii="FangSong_GB2312" w:hAnsi="FangSong_GB2312" w:eastAsia="FangSong_GB2312" w:cs="FangSong_GB2312"/>
          <w:kern w:val="0"/>
          <w:sz w:val="32"/>
          <w:szCs w:val="32"/>
          <w:lang w:val="en-US" w:eastAsia="zh-CN" w:bidi="ar-SA"/>
        </w:rPr>
        <w:t>1500</w:t>
      </w:r>
      <w:r>
        <w:rPr>
          <w:rFonts w:hint="default" w:ascii="FangSong_GB2312" w:hAnsi="FangSong_GB2312" w:eastAsia="FangSong_GB2312" w:cs="FangSong_GB2312"/>
          <w:kern w:val="0"/>
          <w:sz w:val="32"/>
          <w:szCs w:val="32"/>
          <w:lang w:val="en-US" w:eastAsia="zh-CN" w:bidi="ar-SA"/>
        </w:rPr>
        <w:t>，分值</w:t>
      </w:r>
      <w:r>
        <w:rPr>
          <w:rFonts w:hint="eastAsia" w:ascii="FangSong_GB2312" w:hAnsi="FangSong_GB2312" w:eastAsia="FangSong_GB2312" w:cs="FangSong_GB2312"/>
          <w:kern w:val="0"/>
          <w:sz w:val="32"/>
          <w:szCs w:val="32"/>
          <w:lang w:val="en-US" w:eastAsia="zh-CN" w:bidi="ar-SA"/>
        </w:rPr>
        <w:t>5</w:t>
      </w:r>
      <w:r>
        <w:rPr>
          <w:rFonts w:hint="default" w:ascii="FangSong_GB2312" w:hAnsi="FangSong_GB2312" w:eastAsia="FangSong_GB2312" w:cs="FangSong_GB2312"/>
          <w:kern w:val="0"/>
          <w:sz w:val="32"/>
          <w:szCs w:val="32"/>
          <w:lang w:val="en-US" w:eastAsia="zh-CN" w:bidi="ar-SA"/>
        </w:rPr>
        <w:t>，得分</w:t>
      </w:r>
      <w:r>
        <w:rPr>
          <w:rFonts w:hint="eastAsia" w:ascii="FangSong_GB2312" w:hAnsi="FangSong_GB2312" w:eastAsia="FangSong_GB2312" w:cs="FangSong_GB2312"/>
          <w:kern w:val="0"/>
          <w:sz w:val="32"/>
          <w:szCs w:val="32"/>
          <w:lang w:val="en-US" w:eastAsia="zh-CN" w:bidi="ar-SA"/>
        </w:rPr>
        <w:t>5</w:t>
      </w:r>
      <w:r>
        <w:rPr>
          <w:rFonts w:hint="default" w:ascii="FangSong_GB2312" w:hAnsi="FangSong_GB2312" w:eastAsia="FangSong_GB2312" w:cs="FangSong_GB2312"/>
          <w:kern w:val="0"/>
          <w:sz w:val="32"/>
          <w:szCs w:val="32"/>
          <w:lang w:val="en-US" w:eastAsia="zh-CN" w:bidi="ar-SA"/>
        </w:rPr>
        <w:t>。</w:t>
      </w:r>
    </w:p>
    <w:p w14:paraId="61F542C3">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2.效益指标完成情况</w:t>
      </w:r>
    </w:p>
    <w:p w14:paraId="2A870A07">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（5）社会效益指标</w:t>
      </w:r>
    </w:p>
    <w:p w14:paraId="6AF085A9">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1）保障民生，</w:t>
      </w:r>
      <w:r>
        <w:rPr>
          <w:rFonts w:hint="default" w:ascii="FangSong_GB2312" w:hAnsi="FangSong_GB2312" w:eastAsia="FangSong_GB2312" w:cs="FangSong_GB2312"/>
          <w:kern w:val="0"/>
          <w:sz w:val="32"/>
          <w:szCs w:val="32"/>
          <w:lang w:val="en-US" w:eastAsia="zh-CN" w:bidi="ar-SA"/>
        </w:rPr>
        <w:t>目标值</w:t>
      </w:r>
      <w:r>
        <w:rPr>
          <w:rFonts w:hint="eastAsia" w:ascii="FangSong_GB2312" w:hAnsi="FangSong_GB2312" w:eastAsia="FangSong_GB2312" w:cs="FangSong_GB2312"/>
          <w:kern w:val="0"/>
          <w:sz w:val="32"/>
          <w:szCs w:val="32"/>
          <w:lang w:val="en-US" w:eastAsia="zh-CN" w:bidi="ar-SA"/>
        </w:rPr>
        <w:t>提高居民生活水平</w:t>
      </w:r>
      <w:r>
        <w:rPr>
          <w:rFonts w:hint="default" w:ascii="FangSong_GB2312" w:hAnsi="FangSong_GB2312" w:eastAsia="FangSong_GB2312" w:cs="FangSong_GB2312"/>
          <w:kern w:val="0"/>
          <w:sz w:val="32"/>
          <w:szCs w:val="32"/>
          <w:lang w:val="en-US" w:eastAsia="zh-CN" w:bidi="ar-SA"/>
        </w:rPr>
        <w:t>，完成值</w:t>
      </w:r>
      <w:r>
        <w:rPr>
          <w:rFonts w:hint="eastAsia" w:ascii="FangSong_GB2312" w:hAnsi="FangSong_GB2312" w:eastAsia="FangSong_GB2312" w:cs="FangSong_GB2312"/>
          <w:kern w:val="0"/>
          <w:sz w:val="32"/>
          <w:szCs w:val="32"/>
          <w:lang w:val="en-US" w:eastAsia="zh-CN" w:bidi="ar-SA"/>
        </w:rPr>
        <w:t>提高</w:t>
      </w:r>
      <w:r>
        <w:rPr>
          <w:rFonts w:hint="default" w:ascii="FangSong_GB2312" w:hAnsi="FangSong_GB2312" w:eastAsia="FangSong_GB2312" w:cs="FangSong_GB2312"/>
          <w:kern w:val="0"/>
          <w:sz w:val="32"/>
          <w:szCs w:val="32"/>
          <w:lang w:val="en-US" w:eastAsia="zh-CN" w:bidi="ar-SA"/>
        </w:rPr>
        <w:t>，分值</w:t>
      </w:r>
      <w:r>
        <w:rPr>
          <w:rFonts w:hint="eastAsia" w:ascii="FangSong_GB2312" w:hAnsi="FangSong_GB2312" w:eastAsia="FangSong_GB2312" w:cs="FangSong_GB2312"/>
          <w:kern w:val="0"/>
          <w:sz w:val="32"/>
          <w:szCs w:val="32"/>
          <w:lang w:val="en-US" w:eastAsia="zh-CN" w:bidi="ar-SA"/>
        </w:rPr>
        <w:t>10</w:t>
      </w:r>
      <w:r>
        <w:rPr>
          <w:rFonts w:hint="default" w:ascii="FangSong_GB2312" w:hAnsi="FangSong_GB2312" w:eastAsia="FangSong_GB2312" w:cs="FangSong_GB2312"/>
          <w:kern w:val="0"/>
          <w:sz w:val="32"/>
          <w:szCs w:val="32"/>
          <w:lang w:val="en-US" w:eastAsia="zh-CN" w:bidi="ar-SA"/>
        </w:rPr>
        <w:t>，得分</w:t>
      </w:r>
      <w:r>
        <w:rPr>
          <w:rFonts w:hint="eastAsia" w:ascii="FangSong_GB2312" w:hAnsi="FangSong_GB2312" w:eastAsia="FangSong_GB2312" w:cs="FangSong_GB2312"/>
          <w:kern w:val="0"/>
          <w:sz w:val="32"/>
          <w:szCs w:val="32"/>
          <w:lang w:val="en-US" w:eastAsia="zh-CN" w:bidi="ar-SA"/>
        </w:rPr>
        <w:t>10</w:t>
      </w:r>
      <w:r>
        <w:rPr>
          <w:rFonts w:hint="default" w:ascii="FangSong_GB2312" w:hAnsi="FangSong_GB2312" w:eastAsia="FangSong_GB2312" w:cs="FangSong_GB2312"/>
          <w:kern w:val="0"/>
          <w:sz w:val="32"/>
          <w:szCs w:val="32"/>
          <w:lang w:val="en-US" w:eastAsia="zh-CN" w:bidi="ar-SA"/>
        </w:rPr>
        <w:t>。</w:t>
      </w:r>
    </w:p>
    <w:p w14:paraId="2B5BB6AE">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（6）生态效益指标</w:t>
      </w:r>
    </w:p>
    <w:p w14:paraId="153569F2">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1）推动生态文明建设，</w:t>
      </w:r>
      <w:r>
        <w:rPr>
          <w:rFonts w:hint="default" w:ascii="FangSong_GB2312" w:hAnsi="FangSong_GB2312" w:eastAsia="FangSong_GB2312" w:cs="FangSong_GB2312"/>
          <w:kern w:val="0"/>
          <w:sz w:val="32"/>
          <w:szCs w:val="32"/>
          <w:lang w:val="en-US" w:eastAsia="zh-CN" w:bidi="ar-SA"/>
        </w:rPr>
        <w:t>目标值</w:t>
      </w:r>
      <w:r>
        <w:rPr>
          <w:rFonts w:hint="eastAsia" w:ascii="FangSong_GB2312" w:hAnsi="FangSong_GB2312" w:eastAsia="FangSong_GB2312" w:cs="FangSong_GB2312"/>
          <w:kern w:val="0"/>
          <w:sz w:val="32"/>
          <w:szCs w:val="32"/>
          <w:lang w:val="en-US" w:eastAsia="zh-CN" w:bidi="ar-SA"/>
        </w:rPr>
        <w:t>居民生活环境明显改善</w:t>
      </w:r>
      <w:r>
        <w:rPr>
          <w:rFonts w:hint="default" w:ascii="FangSong_GB2312" w:hAnsi="FangSong_GB2312" w:eastAsia="FangSong_GB2312" w:cs="FangSong_GB2312"/>
          <w:kern w:val="0"/>
          <w:sz w:val="32"/>
          <w:szCs w:val="32"/>
          <w:lang w:val="en-US" w:eastAsia="zh-CN" w:bidi="ar-SA"/>
        </w:rPr>
        <w:t>，完成值</w:t>
      </w:r>
      <w:r>
        <w:rPr>
          <w:rFonts w:hint="eastAsia" w:ascii="FangSong_GB2312" w:hAnsi="FangSong_GB2312" w:eastAsia="FangSong_GB2312" w:cs="FangSong_GB2312"/>
          <w:kern w:val="0"/>
          <w:sz w:val="32"/>
          <w:szCs w:val="32"/>
          <w:lang w:val="en-US" w:eastAsia="zh-CN" w:bidi="ar-SA"/>
        </w:rPr>
        <w:t>明显改善</w:t>
      </w:r>
      <w:r>
        <w:rPr>
          <w:rFonts w:hint="default" w:ascii="FangSong_GB2312" w:hAnsi="FangSong_GB2312" w:eastAsia="FangSong_GB2312" w:cs="FangSong_GB2312"/>
          <w:kern w:val="0"/>
          <w:sz w:val="32"/>
          <w:szCs w:val="32"/>
          <w:lang w:val="en-US" w:eastAsia="zh-CN" w:bidi="ar-SA"/>
        </w:rPr>
        <w:t>，分值</w:t>
      </w:r>
      <w:r>
        <w:rPr>
          <w:rFonts w:hint="eastAsia" w:ascii="FangSong_GB2312" w:hAnsi="FangSong_GB2312" w:eastAsia="FangSong_GB2312" w:cs="FangSong_GB2312"/>
          <w:kern w:val="0"/>
          <w:sz w:val="32"/>
          <w:szCs w:val="32"/>
          <w:lang w:val="en-US" w:eastAsia="zh-CN" w:bidi="ar-SA"/>
        </w:rPr>
        <w:t>10</w:t>
      </w:r>
      <w:r>
        <w:rPr>
          <w:rFonts w:hint="default" w:ascii="FangSong_GB2312" w:hAnsi="FangSong_GB2312" w:eastAsia="FangSong_GB2312" w:cs="FangSong_GB2312"/>
          <w:kern w:val="0"/>
          <w:sz w:val="32"/>
          <w:szCs w:val="32"/>
          <w:lang w:val="en-US" w:eastAsia="zh-CN" w:bidi="ar-SA"/>
        </w:rPr>
        <w:t>，得分</w:t>
      </w:r>
      <w:r>
        <w:rPr>
          <w:rFonts w:hint="eastAsia" w:ascii="FangSong_GB2312" w:hAnsi="FangSong_GB2312" w:eastAsia="FangSong_GB2312" w:cs="FangSong_GB2312"/>
          <w:kern w:val="0"/>
          <w:sz w:val="32"/>
          <w:szCs w:val="32"/>
          <w:lang w:val="en-US" w:eastAsia="zh-CN" w:bidi="ar-SA"/>
        </w:rPr>
        <w:t>10</w:t>
      </w:r>
      <w:r>
        <w:rPr>
          <w:rFonts w:hint="default" w:ascii="FangSong_GB2312" w:hAnsi="FangSong_GB2312" w:eastAsia="FangSong_GB2312" w:cs="FangSong_GB2312"/>
          <w:kern w:val="0"/>
          <w:sz w:val="32"/>
          <w:szCs w:val="32"/>
          <w:lang w:val="en-US" w:eastAsia="zh-CN" w:bidi="ar-SA"/>
        </w:rPr>
        <w:t>。</w:t>
      </w:r>
    </w:p>
    <w:p w14:paraId="56C33A60">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（7）可持续影响指标</w:t>
      </w:r>
    </w:p>
    <w:p w14:paraId="5BF5626F">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1）持续健康发展，</w:t>
      </w:r>
      <w:r>
        <w:rPr>
          <w:rFonts w:hint="default" w:ascii="FangSong_GB2312" w:hAnsi="FangSong_GB2312" w:eastAsia="FangSong_GB2312" w:cs="FangSong_GB2312"/>
          <w:kern w:val="0"/>
          <w:sz w:val="32"/>
          <w:szCs w:val="32"/>
          <w:lang w:val="en-US" w:eastAsia="zh-CN" w:bidi="ar-SA"/>
        </w:rPr>
        <w:t>目标值</w:t>
      </w:r>
      <w:r>
        <w:rPr>
          <w:rFonts w:hint="eastAsia" w:ascii="FangSong_GB2312" w:hAnsi="FangSong_GB2312" w:eastAsia="FangSong_GB2312" w:cs="FangSong_GB2312"/>
          <w:kern w:val="0"/>
          <w:sz w:val="32"/>
          <w:szCs w:val="32"/>
          <w:lang w:val="en-US" w:eastAsia="zh-CN" w:bidi="ar-SA"/>
        </w:rPr>
        <w:t>持续影响</w:t>
      </w:r>
      <w:r>
        <w:rPr>
          <w:rFonts w:hint="default" w:ascii="FangSong_GB2312" w:hAnsi="FangSong_GB2312" w:eastAsia="FangSong_GB2312" w:cs="FangSong_GB2312"/>
          <w:kern w:val="0"/>
          <w:sz w:val="32"/>
          <w:szCs w:val="32"/>
          <w:lang w:val="en-US" w:eastAsia="zh-CN" w:bidi="ar-SA"/>
        </w:rPr>
        <w:t>，完成值</w:t>
      </w:r>
      <w:r>
        <w:rPr>
          <w:rFonts w:hint="eastAsia" w:ascii="FangSong_GB2312" w:hAnsi="FangSong_GB2312" w:eastAsia="FangSong_GB2312" w:cs="FangSong_GB2312"/>
          <w:kern w:val="0"/>
          <w:sz w:val="32"/>
          <w:szCs w:val="32"/>
          <w:lang w:val="en-US" w:eastAsia="zh-CN" w:bidi="ar-SA"/>
        </w:rPr>
        <w:t>持续影响</w:t>
      </w:r>
      <w:r>
        <w:rPr>
          <w:rFonts w:hint="default" w:ascii="FangSong_GB2312" w:hAnsi="FangSong_GB2312" w:eastAsia="FangSong_GB2312" w:cs="FangSong_GB2312"/>
          <w:kern w:val="0"/>
          <w:sz w:val="32"/>
          <w:szCs w:val="32"/>
          <w:lang w:val="en-US" w:eastAsia="zh-CN" w:bidi="ar-SA"/>
        </w:rPr>
        <w:t>，分值</w:t>
      </w:r>
      <w:r>
        <w:rPr>
          <w:rFonts w:hint="eastAsia" w:ascii="FangSong_GB2312" w:hAnsi="FangSong_GB2312" w:eastAsia="FangSong_GB2312" w:cs="FangSong_GB2312"/>
          <w:kern w:val="0"/>
          <w:sz w:val="32"/>
          <w:szCs w:val="32"/>
          <w:lang w:val="en-US" w:eastAsia="zh-CN" w:bidi="ar-SA"/>
        </w:rPr>
        <w:t>10</w:t>
      </w:r>
      <w:r>
        <w:rPr>
          <w:rFonts w:hint="default" w:ascii="FangSong_GB2312" w:hAnsi="FangSong_GB2312" w:eastAsia="FangSong_GB2312" w:cs="FangSong_GB2312"/>
          <w:kern w:val="0"/>
          <w:sz w:val="32"/>
          <w:szCs w:val="32"/>
          <w:lang w:val="en-US" w:eastAsia="zh-CN" w:bidi="ar-SA"/>
        </w:rPr>
        <w:t>，得分</w:t>
      </w:r>
      <w:r>
        <w:rPr>
          <w:rFonts w:hint="eastAsia" w:ascii="FangSong_GB2312" w:hAnsi="FangSong_GB2312" w:eastAsia="FangSong_GB2312" w:cs="FangSong_GB2312"/>
          <w:kern w:val="0"/>
          <w:sz w:val="32"/>
          <w:szCs w:val="32"/>
          <w:lang w:val="en-US" w:eastAsia="zh-CN" w:bidi="ar-SA"/>
        </w:rPr>
        <w:t>10</w:t>
      </w:r>
      <w:r>
        <w:rPr>
          <w:rFonts w:hint="default" w:ascii="FangSong_GB2312" w:hAnsi="FangSong_GB2312" w:eastAsia="FangSong_GB2312" w:cs="FangSong_GB2312"/>
          <w:kern w:val="0"/>
          <w:sz w:val="32"/>
          <w:szCs w:val="32"/>
          <w:lang w:val="en-US" w:eastAsia="zh-CN" w:bidi="ar-SA"/>
        </w:rPr>
        <w:t>。</w:t>
      </w:r>
    </w:p>
    <w:p w14:paraId="57FCB37F">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3.满意度指标完成情况</w:t>
      </w:r>
    </w:p>
    <w:p w14:paraId="37821B11">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（8）服务对象满意度指标</w:t>
      </w:r>
    </w:p>
    <w:p w14:paraId="40FD240F">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1）居民满意度(%)，</w:t>
      </w:r>
      <w:r>
        <w:rPr>
          <w:rFonts w:hint="default" w:ascii="FangSong_GB2312" w:hAnsi="FangSong_GB2312" w:eastAsia="FangSong_GB2312" w:cs="FangSong_GB2312"/>
          <w:kern w:val="0"/>
          <w:sz w:val="32"/>
          <w:szCs w:val="32"/>
          <w:lang w:val="en-US" w:eastAsia="zh-CN" w:bidi="ar-SA"/>
        </w:rPr>
        <w:t>目标值</w:t>
      </w:r>
      <w:r>
        <w:rPr>
          <w:rFonts w:hint="eastAsia" w:ascii="FangSong_GB2312" w:hAnsi="FangSong_GB2312" w:eastAsia="FangSong_GB2312" w:cs="FangSong_GB2312"/>
          <w:kern w:val="0"/>
          <w:sz w:val="32"/>
          <w:szCs w:val="32"/>
          <w:lang w:val="en-US" w:eastAsia="zh-CN" w:bidi="ar-SA"/>
        </w:rPr>
        <w:t>95</w:t>
      </w:r>
      <w:r>
        <w:rPr>
          <w:rFonts w:hint="default" w:ascii="FangSong_GB2312" w:hAnsi="FangSong_GB2312" w:eastAsia="FangSong_GB2312" w:cs="FangSong_GB2312"/>
          <w:kern w:val="0"/>
          <w:sz w:val="32"/>
          <w:szCs w:val="32"/>
          <w:lang w:val="en-US" w:eastAsia="zh-CN" w:bidi="ar-SA"/>
        </w:rPr>
        <w:t>，完成值</w:t>
      </w:r>
      <w:r>
        <w:rPr>
          <w:rFonts w:hint="eastAsia" w:ascii="FangSong_GB2312" w:hAnsi="FangSong_GB2312" w:eastAsia="FangSong_GB2312" w:cs="FangSong_GB2312"/>
          <w:kern w:val="0"/>
          <w:sz w:val="32"/>
          <w:szCs w:val="32"/>
          <w:lang w:val="en-US" w:eastAsia="zh-CN" w:bidi="ar-SA"/>
        </w:rPr>
        <w:t>95</w:t>
      </w:r>
      <w:r>
        <w:rPr>
          <w:rFonts w:hint="default" w:ascii="FangSong_GB2312" w:hAnsi="FangSong_GB2312" w:eastAsia="FangSong_GB2312" w:cs="FangSong_GB2312"/>
          <w:kern w:val="0"/>
          <w:sz w:val="32"/>
          <w:szCs w:val="32"/>
          <w:lang w:val="en-US" w:eastAsia="zh-CN" w:bidi="ar-SA"/>
        </w:rPr>
        <w:t>，分值</w:t>
      </w:r>
      <w:r>
        <w:rPr>
          <w:rFonts w:hint="eastAsia" w:ascii="FangSong_GB2312" w:hAnsi="FangSong_GB2312" w:eastAsia="FangSong_GB2312" w:cs="FangSong_GB2312"/>
          <w:kern w:val="0"/>
          <w:sz w:val="32"/>
          <w:szCs w:val="32"/>
          <w:lang w:val="en-US" w:eastAsia="zh-CN" w:bidi="ar-SA"/>
        </w:rPr>
        <w:t>10</w:t>
      </w:r>
      <w:r>
        <w:rPr>
          <w:rFonts w:hint="default" w:ascii="FangSong_GB2312" w:hAnsi="FangSong_GB2312" w:eastAsia="FangSong_GB2312" w:cs="FangSong_GB2312"/>
          <w:kern w:val="0"/>
          <w:sz w:val="32"/>
          <w:szCs w:val="32"/>
          <w:lang w:val="en-US" w:eastAsia="zh-CN" w:bidi="ar-SA"/>
        </w:rPr>
        <w:t>，得分</w:t>
      </w:r>
      <w:r>
        <w:rPr>
          <w:rFonts w:hint="eastAsia" w:ascii="FangSong_GB2312" w:hAnsi="FangSong_GB2312" w:eastAsia="FangSong_GB2312" w:cs="FangSong_GB2312"/>
          <w:kern w:val="0"/>
          <w:sz w:val="32"/>
          <w:szCs w:val="32"/>
          <w:lang w:val="en-US" w:eastAsia="zh-CN" w:bidi="ar-SA"/>
        </w:rPr>
        <w:t>10</w:t>
      </w:r>
      <w:r>
        <w:rPr>
          <w:rFonts w:hint="default" w:ascii="FangSong_GB2312" w:hAnsi="FangSong_GB2312" w:eastAsia="FangSong_GB2312" w:cs="FangSong_GB2312"/>
          <w:kern w:val="0"/>
          <w:sz w:val="32"/>
          <w:szCs w:val="32"/>
          <w:lang w:val="en-US" w:eastAsia="zh-CN" w:bidi="ar-SA"/>
        </w:rPr>
        <w:t>。</w:t>
      </w:r>
    </w:p>
    <w:p w14:paraId="3DD53719">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4. 自评得分情况</w:t>
      </w:r>
    </w:p>
    <w:p w14:paraId="4F65CF3B">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default" w:ascii="FangSong_GB2312" w:hAnsi="FangSong_GB2312" w:eastAsia="FangSong_GB2312" w:cs="FangSong_GB2312"/>
          <w:kern w:val="0"/>
          <w:sz w:val="32"/>
          <w:szCs w:val="32"/>
          <w:lang w:val="en-US" w:eastAsia="zh-CN" w:bidi="ar-SA"/>
        </w:rPr>
        <w:t>本项目绩效自评得分</w:t>
      </w:r>
      <w:r>
        <w:rPr>
          <w:rFonts w:hint="eastAsia" w:ascii="FangSong_GB2312" w:hAnsi="FangSong_GB2312" w:eastAsia="FangSong_GB2312" w:cs="FangSong_GB2312"/>
          <w:kern w:val="0"/>
          <w:sz w:val="32"/>
          <w:szCs w:val="32"/>
          <w:lang w:val="en-US" w:eastAsia="zh-CN" w:bidi="ar-SA"/>
        </w:rPr>
        <w:t>98.75</w:t>
      </w:r>
      <w:r>
        <w:rPr>
          <w:rFonts w:hint="default" w:ascii="FangSong_GB2312" w:hAnsi="FangSong_GB2312" w:eastAsia="FangSong_GB2312" w:cs="FangSong_GB2312"/>
          <w:kern w:val="0"/>
          <w:sz w:val="32"/>
          <w:szCs w:val="32"/>
          <w:lang w:val="en-US" w:eastAsia="zh-CN" w:bidi="ar-SA"/>
        </w:rPr>
        <w:t>分，等级为</w:t>
      </w:r>
      <w:r>
        <w:rPr>
          <w:rFonts w:hint="eastAsia" w:ascii="FangSong_GB2312" w:hAnsi="FangSong_GB2312" w:eastAsia="FangSong_GB2312" w:cs="FangSong_GB2312"/>
          <w:kern w:val="0"/>
          <w:sz w:val="32"/>
          <w:szCs w:val="32"/>
          <w:lang w:val="en-US" w:eastAsia="zh-CN" w:bidi="ar-SA"/>
        </w:rPr>
        <w:t>优</w:t>
      </w:r>
      <w:r>
        <w:rPr>
          <w:rFonts w:hint="default" w:ascii="FangSong_GB2312" w:hAnsi="FangSong_GB2312" w:eastAsia="FangSong_GB2312" w:cs="FangSong_GB2312"/>
          <w:kern w:val="0"/>
          <w:sz w:val="32"/>
          <w:szCs w:val="32"/>
          <w:lang w:val="en-US" w:eastAsia="zh-CN" w:bidi="ar-SA"/>
        </w:rPr>
        <w:t>。</w:t>
      </w:r>
    </w:p>
    <w:p w14:paraId="48D1333C">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四、偏离绩效目标的原因和下一步改进措施</w:t>
      </w:r>
    </w:p>
    <w:p w14:paraId="0FAE48B9">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default" w:ascii="FangSong_GB2312" w:hAnsi="FangSong_GB2312" w:eastAsia="FangSong_GB2312" w:cs="FangSong_GB2312"/>
          <w:kern w:val="0"/>
          <w:sz w:val="32"/>
          <w:szCs w:val="32"/>
          <w:lang w:val="en-US" w:eastAsia="zh-CN" w:bidi="ar-SA"/>
        </w:rPr>
        <w:t xml:space="preserve">    </w:t>
      </w:r>
      <w:r>
        <w:rPr>
          <w:rFonts w:hint="eastAsia" w:ascii="FangSong_GB2312" w:hAnsi="FangSong_GB2312" w:eastAsia="FangSong_GB2312" w:cs="FangSong_GB2312"/>
          <w:kern w:val="0"/>
          <w:sz w:val="32"/>
          <w:szCs w:val="32"/>
          <w:lang w:val="en-US" w:eastAsia="zh-CN" w:bidi="ar-SA"/>
        </w:rPr>
        <w:t>无</w:t>
      </w:r>
    </w:p>
    <w:p w14:paraId="543739A7">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default" w:ascii="FangSong_GB2312" w:hAnsi="FangSong_GB2312" w:eastAsia="FangSong_GB2312" w:cs="FangSong_GB2312"/>
          <w:kern w:val="0"/>
          <w:sz w:val="32"/>
          <w:szCs w:val="32"/>
          <w:lang w:val="en-US" w:eastAsia="zh-CN" w:bidi="ar-SA"/>
        </w:rPr>
        <w:t>（一）项目立项、实施存在问题。</w:t>
      </w:r>
    </w:p>
    <w:p w14:paraId="762B704F">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default" w:ascii="FangSong_GB2312" w:hAnsi="FangSong_GB2312" w:eastAsia="FangSong_GB2312" w:cs="FangSong_GB2312"/>
          <w:kern w:val="0"/>
          <w:sz w:val="32"/>
          <w:szCs w:val="32"/>
          <w:lang w:val="en-US" w:eastAsia="zh-CN" w:bidi="ar-SA"/>
        </w:rPr>
        <w:t>（二）资金管理使用存在问题</w:t>
      </w:r>
    </w:p>
    <w:p w14:paraId="0BEF4D42">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default" w:ascii="FangSong_GB2312" w:hAnsi="FangSong_GB2312" w:eastAsia="FangSong_GB2312" w:cs="FangSong_GB2312"/>
          <w:kern w:val="0"/>
          <w:sz w:val="32"/>
          <w:szCs w:val="32"/>
          <w:lang w:val="en-US" w:eastAsia="zh-CN" w:bidi="ar-SA"/>
        </w:rPr>
        <w:t>（</w:t>
      </w:r>
      <w:r>
        <w:rPr>
          <w:rFonts w:hint="eastAsia" w:ascii="FangSong_GB2312" w:hAnsi="FangSong_GB2312" w:eastAsia="FangSong_GB2312" w:cs="FangSong_GB2312"/>
          <w:kern w:val="0"/>
          <w:sz w:val="32"/>
          <w:szCs w:val="32"/>
          <w:lang w:val="en-US" w:eastAsia="zh-CN" w:bidi="ar-SA"/>
        </w:rPr>
        <w:t>三</w:t>
      </w:r>
      <w:r>
        <w:rPr>
          <w:rFonts w:hint="default" w:ascii="FangSong_GB2312" w:hAnsi="FangSong_GB2312" w:eastAsia="FangSong_GB2312" w:cs="FangSong_GB2312"/>
          <w:kern w:val="0"/>
          <w:sz w:val="32"/>
          <w:szCs w:val="32"/>
          <w:lang w:val="en-US" w:eastAsia="zh-CN" w:bidi="ar-SA"/>
        </w:rPr>
        <w:t>）措施及办法</w:t>
      </w:r>
    </w:p>
    <w:p w14:paraId="2281C518">
      <w:pPr>
        <w:pStyle w:val="29"/>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五、绩效自评结果拟应用和公开情况</w:t>
      </w:r>
    </w:p>
    <w:p w14:paraId="5A7E1EAA">
      <w:pPr>
        <w:pStyle w:val="29"/>
        <w:widowControl/>
        <w:spacing w:before="240" w:after="240" w:line="560" w:lineRule="atLeast"/>
        <w:ind w:firstLine="640"/>
        <w:jc w:val="left"/>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绩效自评拟应用情况：坚持“以评促改、以评促优、以评促管”原则，奖本次绩效自评用于后续工作，优化下一年度经费预算编制，根据自评反应的经费使用效益、目标完成情况，调整预算配置结构，提高预算编制的科学性；完善管理制度体系，结合自评结果，完善经费管理、绩效评价、填报管理等相关制度，规范工作流程，强化责任落实。绩效自评结果公开情况：严格按照政务公开相关规定。坚持公开、透明、规范的原则，拟对本次绩效自评结果进行公开。</w:t>
      </w:r>
    </w:p>
    <w:p w14:paraId="7137EF75">
      <w:pPr>
        <w:pStyle w:val="2"/>
        <w:pageBreakBefore w:val="0"/>
        <w:widowControl w:val="0"/>
        <w:kinsoku/>
        <w:wordWrap/>
        <w:overflowPunct/>
        <w:autoSpaceDE/>
        <w:autoSpaceDN/>
        <w:bidi w:val="0"/>
        <w:adjustRightInd/>
        <w:snapToGrid/>
        <w:spacing w:before="0" w:after="0" w:line="560" w:lineRule="exact"/>
        <w:ind w:firstLine="640" w:firstLineChars="200"/>
        <w:textAlignment w:val="auto"/>
        <w:rPr>
          <w:rFonts w:hint="default"/>
          <w:b w:val="0"/>
          <w:bCs w:val="0"/>
          <w:lang w:val="en-US" w:eastAsia="zh-CN"/>
        </w:rPr>
      </w:pPr>
      <w:r>
        <w:rPr>
          <w:rFonts w:hint="eastAsia"/>
          <w:b w:val="0"/>
          <w:bCs w:val="0"/>
          <w:sz w:val="32"/>
          <w:szCs w:val="32"/>
          <w:lang w:val="en-US" w:eastAsia="zh-CN"/>
        </w:rPr>
        <w:t>六、其他需要说明的问题</w:t>
      </w:r>
    </w:p>
    <w:p w14:paraId="1D19E6C1">
      <w:pPr>
        <w:keepNext w:val="0"/>
        <w:keepLines w:val="0"/>
        <w:pageBreakBefore w:val="0"/>
        <w:widowControl w:val="0"/>
        <w:kinsoku/>
        <w:wordWrap/>
        <w:overflowPunct/>
        <w:topLinePunct/>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color w:val="000000"/>
          <w:sz w:val="32"/>
          <w:szCs w:val="32"/>
          <w:lang w:val="en-US" w:eastAsia="zh-CN"/>
        </w:rPr>
        <w:t>无</w:t>
      </w:r>
    </w:p>
    <w:p w14:paraId="5F9C48A5">
      <w:pPr>
        <w:pStyle w:val="29"/>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（四）部门（单位）预算绩效管理制度和核心绩效指标标准体系建设情况。</w:t>
      </w:r>
    </w:p>
    <w:p w14:paraId="15083A22">
      <w:pPr>
        <w:keepNext w:val="0"/>
        <w:keepLines w:val="0"/>
        <w:pageBreakBefore w:val="0"/>
        <w:widowControl/>
        <w:kinsoku/>
        <w:wordWrap/>
        <w:overflowPunct/>
        <w:topLinePunct w:val="0"/>
        <w:autoSpaceDE/>
        <w:autoSpaceDN/>
        <w:bidi w:val="0"/>
        <w:adjustRightInd/>
        <w:snapToGrid/>
        <w:spacing w:line="560" w:lineRule="exact"/>
        <w:ind w:firstLine="320" w:firstLineChars="100"/>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（一）本单位财务管理、绩效管理、决算组织、编报、审核情况。</w:t>
      </w:r>
    </w:p>
    <w:p w14:paraId="48802846">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1、财务管理，完善财务管理机制。单位严格按照行政事业单位财政财务法规制度，不断健全内部财务管理制度，坚持领导审批原则，明确财务开支的审批权限，树立服务意识和大局意识，确保公开保障有力、节俭有方、用财有效。根据国家财经法律法规、政府会计撰写制度要求及自治区有关政策规定，结合单位实际，修订细化《差旅费管理办法》、《培训费管理办法》等财务管理制度，扎紧制度笼子，切实规范公务开支行为。</w:t>
      </w:r>
    </w:p>
    <w:p w14:paraId="7BEAABFD">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2、绩效管理，细化量化全面预算绩效管理指标。学习借鉴其他单位先进经验和做法，借助和参考往期数据，通过对往期数据的详细分析与对比，进一步明确资源消耗的主要环节，设置相应考核指标，不断提升资金、资源使用效率。着重分析公务支出和重大项目支出，加强各环节管理和管控，记录好相关数据，通过分析相关数据内容，明确各项业务成本效益及优化途径，为后续细化和量化预算绩效指标提供支持。</w:t>
      </w:r>
    </w:p>
    <w:p w14:paraId="6225128A">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3、决算组织、编报、审核情况。严格审核，提决算编报质量。根据财政局相关要求，确保数据准确，做到基层单位预算、决算、非税收入、财政供养等相关数据衔接一致。加强“三公经费”、压缩一般性支出审核，强调决算数据合规性。借助财政下发的参数、审核模板，细化审核内容，进一步查漏补缺，确保各项数据合乎逻辑。</w:t>
      </w:r>
    </w:p>
    <w:p w14:paraId="43B983A5">
      <w:pPr>
        <w:widowControl/>
        <w:spacing w:before="240" w:after="240"/>
        <w:jc w:val="left"/>
        <w:rPr>
          <w:rFonts w:ascii="Times New Roman" w:hAnsi="Times New Roman" w:eastAsia="Times New Roman" w:cs="Times New Roman"/>
          <w:kern w:val="0"/>
          <w:sz w:val="24"/>
        </w:rPr>
      </w:pPr>
    </w:p>
    <w:p w14:paraId="6F3ECF4E">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第三部分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名词解释</w:t>
      </w:r>
    </w:p>
    <w:p w14:paraId="7696D9CA">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一、财政拨款收入：</w:t>
      </w:r>
      <w:r>
        <w:rPr>
          <w:rFonts w:ascii="FangSong_GB2312" w:hAnsi="FangSong_GB2312" w:eastAsia="FangSong_GB2312" w:cs="FangSong_GB2312"/>
          <w:kern w:val="0"/>
          <w:sz w:val="32"/>
          <w:szCs w:val="32"/>
        </w:rPr>
        <w:t>从同级财政部门取得的各类财政拨款，包括一般公共预算财政拨款、政府性基金预算财政拨款、国有资本经营预算财政拨款。</w:t>
      </w:r>
    </w:p>
    <w:p w14:paraId="5E55D410">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二、上级补助收入：</w:t>
      </w:r>
      <w:r>
        <w:rPr>
          <w:rFonts w:ascii="FangSong_GB2312" w:hAnsi="FangSong_GB2312" w:eastAsia="FangSong_GB2312" w:cs="FangSong_GB2312"/>
          <w:kern w:val="0"/>
          <w:sz w:val="32"/>
          <w:szCs w:val="32"/>
        </w:rPr>
        <w:t>指事业单位从主管部门和上级单位取得的非财政补助收入。</w:t>
      </w:r>
    </w:p>
    <w:p w14:paraId="7CF107E5">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三、事业收入：</w:t>
      </w:r>
      <w:r>
        <w:rPr>
          <w:rFonts w:ascii="FangSong_GB2312" w:hAnsi="FangSong_GB2312" w:eastAsia="FangSong_GB2312" w:cs="FangSong_GB2312"/>
          <w:kern w:val="0"/>
          <w:sz w:val="32"/>
          <w:szCs w:val="32"/>
        </w:rPr>
        <w:t>指事业单位开展专业业务活动及其辅助活动取得的收入。</w:t>
      </w:r>
    </w:p>
    <w:p w14:paraId="63A96A1C">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四、经营收入：</w:t>
      </w:r>
      <w:r>
        <w:rPr>
          <w:rFonts w:ascii="FangSong_GB2312" w:hAnsi="FangSong_GB2312" w:eastAsia="FangSong_GB2312" w:cs="FangSong_GB2312"/>
          <w:kern w:val="0"/>
          <w:sz w:val="32"/>
          <w:szCs w:val="32"/>
        </w:rPr>
        <w:t>指事业单位在专业业务活动及其辅助活动之外开展非独立核算经营活动取得的收入。</w:t>
      </w:r>
    </w:p>
    <w:p w14:paraId="58A7B7FA">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五、附属单位上缴收入：</w:t>
      </w:r>
      <w:r>
        <w:rPr>
          <w:rFonts w:ascii="FangSong_GB2312" w:hAnsi="FangSong_GB2312" w:eastAsia="FangSong_GB2312" w:cs="FangSong_GB2312"/>
          <w:kern w:val="0"/>
          <w:sz w:val="32"/>
          <w:szCs w:val="32"/>
        </w:rPr>
        <w:t>指事业单位取得附属独立核算单位按照有关规定上缴的收入。</w:t>
      </w:r>
    </w:p>
    <w:p w14:paraId="386C6C08">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六、其他收入：</w:t>
      </w:r>
      <w:r>
        <w:rPr>
          <w:rFonts w:ascii="FangSong_GB2312" w:hAnsi="FangSong_GB2312" w:eastAsia="FangSong_GB2312" w:cs="FangSong_GB2312"/>
          <w:kern w:val="0"/>
          <w:sz w:val="32"/>
          <w:szCs w:val="32"/>
        </w:rPr>
        <w:t>取得的除上述财政拨款收入、上级补助收入、事业收入、经营收入、附属单位上缴收入等以外的各项收入。</w:t>
      </w:r>
    </w:p>
    <w:p w14:paraId="1E6E1726">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七、使用非财政拨款结余（含专用结余）：</w:t>
      </w:r>
      <w:r>
        <w:rPr>
          <w:rFonts w:ascii="FangSong_GB2312" w:hAnsi="FangSong_GB2312" w:eastAsia="FangSong_GB2312" w:cs="FangSong_GB2312"/>
          <w:kern w:val="0"/>
          <w:sz w:val="32"/>
          <w:szCs w:val="32"/>
        </w:rPr>
        <w:t>指事业单位按照预算管理要求使用非财政拨款结余弥补收支差额的金额，以及使用专用结余安排支出的金额。</w:t>
      </w:r>
    </w:p>
    <w:p w14:paraId="4C330875">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八、年初结转和结余：</w:t>
      </w:r>
      <w:r>
        <w:rPr>
          <w:rFonts w:ascii="FangSong_GB2312" w:hAnsi="FangSong_GB2312" w:eastAsia="FangSong_GB2312" w:cs="FangSong_GB2312"/>
          <w:kern w:val="0"/>
          <w:sz w:val="32"/>
          <w:szCs w:val="32"/>
        </w:rPr>
        <w:t>指单位上年结转本年使用的基本支出结转、项目支出结转和结余、经营结余。</w:t>
      </w:r>
    </w:p>
    <w:p w14:paraId="4728D6EE">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九、结余分配：</w:t>
      </w:r>
      <w:r>
        <w:rPr>
          <w:rFonts w:ascii="FangSong_GB2312" w:hAnsi="FangSong_GB2312" w:eastAsia="FangSong_GB2312" w:cs="FangSong_GB2312"/>
          <w:kern w:val="0"/>
          <w:sz w:val="32"/>
          <w:szCs w:val="32"/>
        </w:rPr>
        <w:t>指单位按规定缴纳企业所得税以及从非财政拨款结余或经营结余中提取各类结余的情况。</w:t>
      </w:r>
    </w:p>
    <w:p w14:paraId="75124D35">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十、年末结转和结余资金：</w:t>
      </w:r>
      <w:r>
        <w:rPr>
          <w:rFonts w:ascii="FangSong_GB2312" w:hAnsi="FangSong_GB2312" w:eastAsia="FangSong_GB2312" w:cs="FangSong_GB2312"/>
          <w:kern w:val="0"/>
          <w:sz w:val="32"/>
          <w:szCs w:val="32"/>
        </w:rPr>
        <w:t>指单位结转下年的基本支出结转、项目支出结转和结余、经营结余。</w:t>
      </w:r>
    </w:p>
    <w:p w14:paraId="72F05194">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十一、基本支出：</w:t>
      </w:r>
      <w:r>
        <w:rPr>
          <w:rFonts w:ascii="FangSong_GB2312" w:hAnsi="FangSong_GB2312" w:eastAsia="FangSong_GB2312" w:cs="FangSong_GB2312"/>
          <w:kern w:val="0"/>
          <w:sz w:val="32"/>
          <w:szCs w:val="32"/>
        </w:rPr>
        <w:t>指为保障机构正常运转、完成日常工作任务所发生的支出，包括人员经费和公用经费。</w:t>
      </w:r>
    </w:p>
    <w:p w14:paraId="2A22B72D">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color w:val="000000"/>
          <w:kern w:val="0"/>
          <w:sz w:val="32"/>
          <w:szCs w:val="32"/>
        </w:rPr>
        <w:t>十二、项目支出：</w:t>
      </w:r>
      <w:r>
        <w:rPr>
          <w:rFonts w:ascii="FangSong_GB2312" w:hAnsi="FangSong_GB2312" w:eastAsia="FangSong_GB2312" w:cs="FangSong_GB2312"/>
          <w:color w:val="000000"/>
          <w:kern w:val="0"/>
          <w:sz w:val="32"/>
          <w:szCs w:val="32"/>
        </w:rPr>
        <w:t>指单位为完成特定的行政工作任务或事业发展目标，在基本支出之外发生的各项支出。</w:t>
      </w:r>
    </w:p>
    <w:p w14:paraId="5DF48FFE">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十三、上缴上级支出：</w:t>
      </w:r>
      <w:r>
        <w:rPr>
          <w:rFonts w:ascii="FangSong_GB2312" w:hAnsi="FangSong_GB2312" w:eastAsia="FangSong_GB2312" w:cs="FangSong_GB2312"/>
          <w:kern w:val="0"/>
          <w:sz w:val="32"/>
          <w:szCs w:val="32"/>
        </w:rPr>
        <w:t>指事业单位按照财政部门和主管部门的规定上缴上级单位的支出。</w:t>
      </w:r>
    </w:p>
    <w:p w14:paraId="0A42B426">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十四、经营支出：</w:t>
      </w:r>
      <w:r>
        <w:rPr>
          <w:rFonts w:ascii="FangSong_GB2312" w:hAnsi="FangSong_GB2312" w:eastAsia="FangSong_GB2312" w:cs="FangSong_GB2312"/>
          <w:kern w:val="0"/>
          <w:sz w:val="32"/>
          <w:szCs w:val="32"/>
        </w:rPr>
        <w:t>指事业单位在专业业务活动及其辅助活动之外开展非独立核算经营活动发生的支出。</w:t>
      </w:r>
    </w:p>
    <w:p w14:paraId="396B8974">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十五、对附属单位补助支出：</w:t>
      </w:r>
      <w:r>
        <w:rPr>
          <w:rFonts w:ascii="FangSong_GB2312" w:hAnsi="FangSong_GB2312" w:eastAsia="FangSong_GB2312" w:cs="FangSong_GB2312"/>
          <w:kern w:val="0"/>
          <w:sz w:val="32"/>
          <w:szCs w:val="32"/>
        </w:rPr>
        <w:t>指事业单位用财政拨款收入之外的收入对附属单位补助发生的支出。</w:t>
      </w:r>
    </w:p>
    <w:p w14:paraId="766498EB">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十六、“三公”经费：</w:t>
      </w:r>
      <w:r>
        <w:rPr>
          <w:rFonts w:ascii="FangSong_GB2312" w:hAnsi="FangSong_GB2312" w:eastAsia="FangSong_GB2312" w:cs="FangSong_GB2312"/>
          <w:kern w:val="0"/>
          <w:sz w:val="32"/>
          <w:szCs w:val="32"/>
        </w:rPr>
        <w:t>指部门（单位）用财政拨款安排的因公出国（境）费、公务用车购置及运行维护费和公务接待费。其中，因公出国（境）费反映部门（单位）公务出国（境）的国际旅费、国外城市间交通费、住宿费、伙食费、培训费、公杂费等支出；公务用车购置及运行维护费反映部门（单位）公务用车购置支出（含车辆购置税、牌照费）以及按规定保留的公务用车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维修费、过路过桥费、保险费、安全奖励费用等支出；公务接待费反映部门（单位）按规定开支的各类公务接待（含外宾接待）费用。</w:t>
      </w:r>
    </w:p>
    <w:p w14:paraId="0EAC4E3E">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十七、机关运行经费：</w:t>
      </w:r>
      <w:r>
        <w:rPr>
          <w:rFonts w:ascii="FangSong_GB2312" w:hAnsi="FangSong_GB2312" w:eastAsia="FangSong_GB2312" w:cs="FangSong_GB2312"/>
          <w:kern w:val="0"/>
          <w:sz w:val="32"/>
          <w:szCs w:val="32"/>
        </w:rPr>
        <w:t>指行政单位和参照公务员法管理的事业单位财政拨款基本支出中的公用经费支出。</w:t>
      </w:r>
    </w:p>
    <w:p w14:paraId="6E85F8DC">
      <w:pPr>
        <w:widowControl/>
        <w:spacing w:before="240" w:after="240"/>
        <w:jc w:val="left"/>
        <w:rPr>
          <w:rFonts w:ascii="Times New Roman" w:hAnsi="Times New Roman" w:eastAsia="Times New Roman" w:cs="Times New Roman"/>
          <w:kern w:val="0"/>
          <w:sz w:val="24"/>
        </w:rPr>
      </w:pPr>
    </w:p>
    <w:p w14:paraId="513358EB">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第四部分</w:t>
      </w:r>
      <w:r>
        <w:rPr>
          <w:rFonts w:ascii="Times New Roman" w:hAnsi="Times New Roman" w:eastAsia="Times New Roman" w:cs="Times New Roman"/>
          <w:kern w:val="0"/>
          <w:sz w:val="36"/>
          <w:szCs w:val="36"/>
        </w:rPr>
        <w:t> </w:t>
      </w:r>
      <w:r>
        <w:rPr>
          <w:rFonts w:ascii="fang_zheng_xiao_biao_song_ti" w:hAnsi="fang_zheng_xiao_biao_song_ti" w:eastAsia="fang_zheng_xiao_biao_song_ti" w:cs="fang_zheng_xiao_biao_song_ti"/>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决算公开联系方式及信息反馈渠道</w:t>
      </w:r>
    </w:p>
    <w:p w14:paraId="19C2C395">
      <w:pPr>
        <w:widowControl/>
        <w:spacing w:before="240" w:after="240"/>
        <w:jc w:val="left"/>
        <w:rPr>
          <w:rFonts w:ascii="Times New Roman" w:hAnsi="Times New Roman" w:eastAsia="Times New Roman" w:cs="Times New Roman"/>
          <w:kern w:val="0"/>
          <w:sz w:val="24"/>
        </w:rPr>
      </w:pPr>
    </w:p>
    <w:p w14:paraId="164A07F2">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本部门（单位）决算公开信息反馈和联系方式：</w:t>
      </w:r>
    </w:p>
    <w:p w14:paraId="4474E845">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联系人：</w:t>
      </w:r>
      <w:r>
        <w:rPr>
          <w:rFonts w:ascii="FangSong_GB2312" w:hAnsi="FangSong_GB2312" w:eastAsia="FangSong_GB2312" w:cs="FangSong_GB2312"/>
          <w:kern w:val="0"/>
          <w:sz w:val="32"/>
          <w:szCs w:val="32"/>
          <w:lang w:eastAsia="en-US"/>
        </w:rPr>
        <w:t>邱晓云</w:t>
      </w:r>
      <w:r>
        <w:rPr>
          <w:rFonts w:ascii="Times New Roman" w:hAnsi="Times New Roman" w:eastAsia="Times New Roman" w:cs="Times New Roman"/>
          <w:kern w:val="0"/>
          <w:sz w:val="32"/>
          <w:szCs w:val="32"/>
          <w:lang w:eastAsia="en-US"/>
        </w:rPr>
        <w:t xml:space="preserve">              </w:t>
      </w:r>
      <w:r>
        <w:rPr>
          <w:rFonts w:ascii="FangSong_GB2312" w:hAnsi="FangSong_GB2312" w:eastAsia="FangSong_GB2312" w:cs="FangSong_GB2312"/>
          <w:kern w:val="0"/>
          <w:sz w:val="32"/>
          <w:szCs w:val="32"/>
        </w:rPr>
        <w:t>联系电话：</w:t>
      </w:r>
      <w:r>
        <w:rPr>
          <w:rFonts w:ascii="FangSong_GB2312" w:hAnsi="FangSong_GB2312" w:eastAsia="FangSong_GB2312" w:cs="FangSong_GB2312"/>
          <w:kern w:val="0"/>
          <w:sz w:val="32"/>
          <w:szCs w:val="32"/>
          <w:lang w:eastAsia="en-US"/>
        </w:rPr>
        <w:t>0478-8738759</w:t>
      </w:r>
      <w:r>
        <w:rPr>
          <w:rFonts w:ascii="Calibri" w:hAnsi="Calibri" w:eastAsia="Calibri" w:cs="Calibri"/>
          <w:kern w:val="0"/>
          <w:sz w:val="32"/>
          <w:szCs w:val="32"/>
          <w:lang w:eastAsia="en-US"/>
        </w:rPr>
        <w:t> </w:t>
      </w:r>
    </w:p>
    <w:p w14:paraId="24997F60">
      <w:pPr>
        <w:widowControl/>
        <w:spacing w:before="240" w:after="240"/>
        <w:jc w:val="left"/>
        <w:rPr>
          <w:rFonts w:ascii="Times New Roman" w:hAnsi="Times New Roman" w:eastAsia="Times New Roman" w:cs="Times New Roman"/>
          <w:kern w:val="0"/>
          <w:sz w:val="24"/>
        </w:rPr>
      </w:pPr>
    </w:p>
    <w:p w14:paraId="3CE284FE">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第五部分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部门（单位）决算表</w:t>
      </w:r>
    </w:p>
    <w:p w14:paraId="455FEB77">
      <w:pPr>
        <w:pStyle w:val="29"/>
        <w:widowControl/>
        <w:spacing w:before="240" w:after="240"/>
        <w:ind w:left="0" w:right="0"/>
        <w:jc w:val="center"/>
        <w:rPr>
          <w:rFonts w:ascii="Times New Roman" w:hAnsi="Times New Roman" w:eastAsia="Times New Roman" w:cs="Times New Roman"/>
          <w:kern w:val="0"/>
          <w:sz w:val="24"/>
        </w:rPr>
      </w:pPr>
      <w:r>
        <w:rPr>
          <w:rFonts w:ascii="Times New Roman" w:hAnsi="Times New Roman" w:eastAsia="Times New Roman" w:cs="Times New Roman"/>
          <w:kern w:val="0"/>
          <w:sz w:val="24"/>
          <w:lang w:eastAsia="en-US"/>
        </w:rPr>
        <w:t> </w:t>
      </w:r>
    </w:p>
    <w:p w14:paraId="641191F6">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见附件。</w:t>
      </w:r>
    </w:p>
    <w:bookmarkEnd w:id="0"/>
    <w:p w14:paraId="5F5C6085">
      <w:pPr>
        <w:adjustRightInd w:val="0"/>
        <w:snapToGrid w:val="0"/>
        <w:rPr>
          <w:rFonts w:ascii="宋体" w:hAnsi="宋体"/>
          <w:b/>
          <w:sz w:val="32"/>
          <w:szCs w:val="32"/>
        </w:rPr>
      </w:pPr>
    </w:p>
    <w:p w14:paraId="6708DBFD">
      <w:pPr>
        <w:adjustRightInd w:val="0"/>
        <w:snapToGrid w:val="0"/>
        <w:rPr>
          <w:rFonts w:ascii="宋体" w:hAnsi="宋体"/>
          <w:b/>
          <w:sz w:val="32"/>
          <w:szCs w:val="32"/>
        </w:rPr>
      </w:pPr>
    </w:p>
    <w:p w14:paraId="226C5F46">
      <w:pPr>
        <w:tabs>
          <w:tab w:val="left" w:pos="8415"/>
        </w:tabs>
      </w:pPr>
    </w:p>
    <w:sectPr>
      <w:footerReference r:id="rId4"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00007A87" w:usb1="80000000" w:usb2="00000008" w:usb3="00000000" w:csb0="400001FF" w:csb1="FFFF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Century Gothic"/>
    <w:panose1 w:val="020F0502020204030204"/>
    <w:charset w:val="00"/>
    <w:family w:val="swiss"/>
    <w:pitch w:val="default"/>
    <w:sig w:usb0="00000000" w:usb1="00000000" w:usb2="00000001" w:usb3="00000000" w:csb0="0000019F" w:csb1="00000000"/>
  </w:font>
  <w:font w:name="Century Gothic">
    <w:panose1 w:val="020B0502020202020204"/>
    <w:charset w:val="00"/>
    <w:family w:val="auto"/>
    <w:pitch w:val="default"/>
    <w:sig w:usb0="00000287" w:usb1="00000000" w:usb2="00000000" w:usb3="00000000" w:csb0="2000009F" w:csb1="DFD7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altName w:val="微软雅黑"/>
    <w:panose1 w:val="02010609060101010101"/>
    <w:charset w:val="86"/>
    <w:family w:val="modern"/>
    <w:pitch w:val="default"/>
    <w:sig w:usb0="00000000" w:usb1="00000000" w:usb2="00000016" w:usb3="00000000" w:csb0="00040001" w:csb1="00000000"/>
  </w:font>
  <w:font w:name="微软雅黑">
    <w:panose1 w:val="020B0503020204020204"/>
    <w:charset w:val="86"/>
    <w:family w:val="auto"/>
    <w:pitch w:val="default"/>
    <w:sig w:usb0="80000287" w:usb1="2A0F3C52" w:usb2="00000016" w:usb3="00000000" w:csb0="0004001F" w:csb1="00000000"/>
  </w:font>
  <w:font w:name="FangSong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times_new_roman">
    <w:altName w:val="汉仪旗黑-55"/>
    <w:panose1 w:val="00000000000000000000"/>
    <w:charset w:val="00"/>
    <w:family w:val="auto"/>
    <w:pitch w:val="default"/>
    <w:sig w:usb0="00000000" w:usb1="00000000" w:usb2="00000000" w:usb3="00000000" w:csb0="00000000" w:csb1="00000000"/>
  </w:font>
  <w:font w:name="汉仪旗黑-55">
    <w:panose1 w:val="00020600040101010101"/>
    <w:charset w:val="86"/>
    <w:family w:val="auto"/>
    <w:pitch w:val="default"/>
    <w:sig w:usb0="A00002BF" w:usb1="18EF7CFA" w:usb2="00000016"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fang_zheng_xiao_biao_song_ti">
    <w:altName w:val="汉仪旗黑-55"/>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0FCD3">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8253B">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7C5F85"/>
    <w:rsid w:val="3C983A56"/>
    <w:rsid w:val="4023029F"/>
    <w:rsid w:val="4BEC2DDC"/>
    <w:rsid w:val="55947E95"/>
    <w:rsid w:val="6FAB5A90"/>
    <w:rsid w:val="785126A6"/>
    <w:rsid w:val="FACF679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8"/>
    <w:qFormat/>
    <w:uiPriority w:val="0"/>
    <w:pPr>
      <w:keepNext/>
      <w:keepLines/>
      <w:spacing w:before="260" w:after="260" w:line="416" w:lineRule="auto"/>
      <w:outlineLvl w:val="2"/>
    </w:pPr>
    <w:rPr>
      <w:b/>
      <w:bCs/>
      <w:sz w:val="32"/>
      <w:szCs w:val="32"/>
    </w:rPr>
  </w:style>
  <w:style w:type="paragraph" w:styleId="5">
    <w:name w:val="heading 4"/>
    <w:basedOn w:val="1"/>
    <w:next w:val="1"/>
    <w:link w:val="23"/>
    <w:qFormat/>
    <w:uiPriority w:val="0"/>
    <w:pPr>
      <w:keepNext/>
      <w:keepLines/>
      <w:spacing w:before="280" w:after="290" w:line="376" w:lineRule="auto"/>
      <w:outlineLvl w:val="3"/>
    </w:pPr>
    <w:rPr>
      <w:rFonts w:ascii="Cambria" w:hAnsi="Cambria"/>
      <w:b/>
      <w:bCs/>
      <w:sz w:val="28"/>
      <w:szCs w:val="28"/>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1260"/>
      <w:jc w:val="left"/>
    </w:pPr>
    <w:rPr>
      <w:sz w:val="20"/>
      <w:szCs w:val="20"/>
    </w:rPr>
  </w:style>
  <w:style w:type="paragraph" w:styleId="7">
    <w:name w:val="Normal Indent"/>
    <w:basedOn w:val="1"/>
    <w:qFormat/>
    <w:uiPriority w:val="0"/>
    <w:pPr>
      <w:ind w:firstLine="420" w:firstLineChars="200"/>
    </w:pPr>
  </w:style>
  <w:style w:type="paragraph" w:styleId="8">
    <w:name w:val="Document Map"/>
    <w:basedOn w:val="1"/>
    <w:qFormat/>
    <w:uiPriority w:val="0"/>
    <w:pPr>
      <w:shd w:val="clear" w:color="auto" w:fill="000080"/>
    </w:pPr>
  </w:style>
  <w:style w:type="paragraph" w:styleId="9">
    <w:name w:val="toc 5"/>
    <w:basedOn w:val="1"/>
    <w:next w:val="1"/>
    <w:qFormat/>
    <w:uiPriority w:val="0"/>
    <w:pPr>
      <w:ind w:left="840"/>
      <w:jc w:val="left"/>
    </w:pPr>
    <w:rPr>
      <w:sz w:val="20"/>
      <w:szCs w:val="20"/>
    </w:rPr>
  </w:style>
  <w:style w:type="paragraph" w:styleId="10">
    <w:name w:val="toc 3"/>
    <w:basedOn w:val="1"/>
    <w:next w:val="1"/>
    <w:qFormat/>
    <w:uiPriority w:val="0"/>
    <w:pPr>
      <w:adjustRightInd w:val="0"/>
      <w:snapToGrid w:val="0"/>
      <w:spacing w:line="360" w:lineRule="auto"/>
      <w:ind w:firstLine="400" w:firstLineChars="400"/>
      <w:jc w:val="left"/>
    </w:pPr>
    <w:rPr>
      <w:sz w:val="24"/>
      <w:szCs w:val="20"/>
    </w:rPr>
  </w:style>
  <w:style w:type="paragraph" w:styleId="11">
    <w:name w:val="toc 8"/>
    <w:basedOn w:val="1"/>
    <w:next w:val="1"/>
    <w:qFormat/>
    <w:uiPriority w:val="0"/>
    <w:pPr>
      <w:ind w:left="1470"/>
      <w:jc w:val="left"/>
    </w:pPr>
    <w:rPr>
      <w:sz w:val="20"/>
      <w:szCs w:val="20"/>
    </w:rPr>
  </w:style>
  <w:style w:type="paragraph" w:styleId="12">
    <w:name w:val="footer"/>
    <w:basedOn w:val="1"/>
    <w:link w:val="26"/>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0"/>
    <w:pPr>
      <w:adjustRightInd w:val="0"/>
      <w:snapToGrid w:val="0"/>
      <w:spacing w:line="360" w:lineRule="auto"/>
      <w:jc w:val="left"/>
    </w:pPr>
    <w:rPr>
      <w:b/>
      <w:bCs/>
      <w:sz w:val="24"/>
      <w:szCs w:val="20"/>
    </w:rPr>
  </w:style>
  <w:style w:type="paragraph" w:styleId="15">
    <w:name w:val="toc 4"/>
    <w:basedOn w:val="1"/>
    <w:next w:val="1"/>
    <w:qFormat/>
    <w:uiPriority w:val="0"/>
    <w:pPr>
      <w:ind w:left="630"/>
      <w:jc w:val="left"/>
    </w:pPr>
    <w:rPr>
      <w:sz w:val="20"/>
      <w:szCs w:val="20"/>
    </w:rPr>
  </w:style>
  <w:style w:type="paragraph" w:styleId="16">
    <w:name w:val="toc 6"/>
    <w:basedOn w:val="1"/>
    <w:next w:val="1"/>
    <w:qFormat/>
    <w:uiPriority w:val="0"/>
    <w:pPr>
      <w:ind w:left="1050"/>
      <w:jc w:val="left"/>
    </w:pPr>
    <w:rPr>
      <w:sz w:val="20"/>
      <w:szCs w:val="20"/>
    </w:rPr>
  </w:style>
  <w:style w:type="paragraph" w:styleId="17">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18">
    <w:name w:val="toc 9"/>
    <w:basedOn w:val="1"/>
    <w:next w:val="1"/>
    <w:qFormat/>
    <w:uiPriority w:val="0"/>
    <w:pPr>
      <w:ind w:left="1680"/>
      <w:jc w:val="left"/>
    </w:pPr>
    <w:rPr>
      <w:sz w:val="20"/>
      <w:szCs w:val="20"/>
    </w:rPr>
  </w:style>
  <w:style w:type="character" w:styleId="21">
    <w:name w:val="page number"/>
    <w:basedOn w:val="20"/>
    <w:qFormat/>
    <w:uiPriority w:val="0"/>
  </w:style>
  <w:style w:type="character" w:styleId="22">
    <w:name w:val="Hyperlink"/>
    <w:basedOn w:val="20"/>
    <w:qFormat/>
    <w:uiPriority w:val="0"/>
    <w:rPr>
      <w:color w:val="0000FF"/>
      <w:u w:val="single"/>
    </w:rPr>
  </w:style>
  <w:style w:type="character" w:customStyle="1" w:styleId="23">
    <w:name w:val="标题 4 Char"/>
    <w:basedOn w:val="20"/>
    <w:link w:val="5"/>
    <w:qFormat/>
    <w:uiPriority w:val="0"/>
    <w:rPr>
      <w:rFonts w:ascii="Cambria" w:hAnsi="Cambria"/>
      <w:b/>
      <w:bCs/>
      <w:kern w:val="2"/>
      <w:sz w:val="28"/>
      <w:szCs w:val="28"/>
    </w:rPr>
  </w:style>
  <w:style w:type="paragraph" w:styleId="24">
    <w:name w:val="No Spacing"/>
    <w:link w:val="25"/>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5">
    <w:name w:val="无间隔 Char"/>
    <w:link w:val="24"/>
    <w:qFormat/>
    <w:locked/>
    <w:uiPriority w:val="0"/>
    <w:rPr>
      <w:rFonts w:eastAsia="仿宋_GB2312"/>
      <w:sz w:val="30"/>
      <w:szCs w:val="22"/>
      <w:lang w:bidi="ar-SA"/>
    </w:rPr>
  </w:style>
  <w:style w:type="character" w:customStyle="1" w:styleId="26">
    <w:name w:val="页脚 Char"/>
    <w:basedOn w:val="20"/>
    <w:link w:val="12"/>
    <w:qFormat/>
    <w:uiPriority w:val="0"/>
    <w:rPr>
      <w:kern w:val="2"/>
      <w:sz w:val="18"/>
      <w:szCs w:val="18"/>
    </w:rPr>
  </w:style>
  <w:style w:type="paragraph" w:styleId="27">
    <w:name w:val="List Paragraph"/>
    <w:basedOn w:val="1"/>
    <w:qFormat/>
    <w:uiPriority w:val="0"/>
    <w:pPr>
      <w:ind w:firstLine="420" w:firstLineChars="200"/>
    </w:pPr>
  </w:style>
  <w:style w:type="character" w:customStyle="1" w:styleId="28">
    <w:name w:val="标题 3 Char"/>
    <w:basedOn w:val="20"/>
    <w:link w:val="4"/>
    <w:qFormat/>
    <w:uiPriority w:val="0"/>
    <w:rPr>
      <w:b/>
      <w:bCs/>
      <w:kern w:val="2"/>
      <w:sz w:val="32"/>
      <w:szCs w:val="32"/>
    </w:rPr>
  </w:style>
  <w:style w:type="paragraph" w:customStyle="1" w:styleId="29">
    <w:name w:val="MsoNormal"/>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we="http://schemas.microsoft.com/office/webextensions/webextension/2010/11" xmlns:wp14="http://schemas.microsoft.com/office/word/2010/wordprocessingDrawing" xmlns:oda="http://opendope.org/answers" xmlns:odc="http://opendope.org/conditions" xmlns:wetp="http://schemas.microsoft.com/office/webextensions/taskpanes/2010/11" xmlns:pvml="urn:schemas-microsoft-com:office:powerpoint" xmlns:wp="http://schemas.openxmlformats.org/drawingml/2006/wordprocessingDrawing" xmlns:odi="http://opendope.org/components" xmlns:cdr="http://schemas.openxmlformats.org/drawingml/2006/chartDrawing" xmlns:cppr="http://schemas.microsoft.com/office/2006/coverPageProps" xmlns:sl="http://schemas.openxmlformats.org/schemaLibrary/2006/main" xmlns:w16cid="http://schemas.microsoft.com/office/word/2016/wordml/cid" xmlns:xvml="urn:schemas-microsoft-com:office:excel" xmlns:odq="http://opendope.org/questions" xmlns:mc="http://schemas.openxmlformats.org/markup-compatibility/2006" xmlns:xdr="http://schemas.openxmlformats.org/drawingml/2006/spreadsheetDrawing" xmlns:odx="http://opendope.org/xpaths" xmlns:dsp="http://schemas.microsoft.com/office/drawing/2008/diagram" xmlns:w10="urn:schemas-microsoft-com:office:word" xmlns:comp="http://schemas.openxmlformats.org/drawingml/2006/compatibility" xmlns:wne="http://schemas.microsoft.com/office/word/2006/wordml" xmlns:w14="http://schemas.microsoft.com/office/word/2010/wordml" xmlns:w15="http://schemas.microsoft.com/office/word/2012/wordml" xmlns:a="http://schemas.openxmlformats.org/drawingml/2006/main" xmlns:odgm="http://opendope.org/SmartArt/DataHierarchy" xmlns:c="http://schemas.openxmlformats.org/drawingml/2006/chart" xmlns:wps="http://schemas.microsoft.com/office/word/2010/wordprocessingShape" xmlns:c14="http://schemas.microsoft.com/office/drawing/2007/8/2/chart" xmlns:pic="http://schemas.openxmlformats.org/drawingml/2006/picture" xmlns:m="http://schemas.openxmlformats.org/officeDocument/2006/math" xmlns:w16se="http://schemas.microsoft.com/office/word/2015/wordml/symex" xmlns:o="urn:schemas-microsoft-com:office:office" xmlns:r="http://schemas.openxmlformats.org/officeDocument/2006/relationships" xmlns:dgm="http://schemas.openxmlformats.org/drawingml/2006/diagram" xmlns:lc="http://schemas.openxmlformats.org/drawingml/2006/lockedCanvas" xmlns:v="urn:schemas-microsoft-com:vml" xmlns:w="http://schemas.openxmlformats.org/wordprocessingml/2006/main" StyleName="APA" SelectedStyle="\APASixthEditionOfficeOnline.xsl"/>
</file>

<file path=customXml/itemProps1.xml><?xml version="1.0" encoding="utf-8"?>
<ds:datastoreItem xmlns:ds="http://schemas.openxmlformats.org/officeDocument/2006/customXml" ds:itemID="{40FBB8C3-AB0F-4E54-B888-F65ACC039CA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35</Pages>
  <Words>7</Words>
  <Characters>40</Characters>
  <Lines>1</Lines>
  <Paragraphs>1</Paragraphs>
  <TotalTime>8</TotalTime>
  <ScaleCrop>false</ScaleCrop>
  <LinksUpToDate>false</LinksUpToDate>
  <CharactersWithSpaces>46</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2022-03-23T20:40:00Z</dcterms:created>
  <dc:creator>Administrator</dc:creator>
  <cp:lastModifiedBy>user</cp:lastModifiedBy>
  <cp:lastPrinted>2021-04-16T08:45:00Z</cp:lastPrinted>
  <dcterms:modified xsi:type="dcterms:W3CDTF">2026-09-23T17:08:40Z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611238F30D8A411DBAB9B55681FC0BF8_12</vt:lpwstr>
  </property>
  <property fmtid="{D5CDD505-2E9C-101B-9397-08002B2CF9AE}" pid="3" name="KSOProductBuildVer">
    <vt:lpwstr>2052-12.8.2.20327</vt:lpwstr>
  </property>
  <property fmtid="{D5CDD505-2E9C-101B-9397-08002B2CF9AE}" pid="4" name="KSOTemplateDocerSaveRecord">
    <vt:lpwstr>eyJoZGlkIjoiN2YzNjBkOTgyNWQ1YTMxYzM3MzMwNWFiODNmOWIzYWMiLCJ1c2VySWQiOiI4MDUyMTE2MjkifQ==</vt:lpwstr>
  </property>
</Properties>
</file>