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Arial" w:hAnsi="Arial" w:eastAsia="Symbol"/>
          <w:b/>
          <w:bCs/>
          <w:sz w:val="32"/>
          <w:szCs w:val="32"/>
        </w:rPr>
      </w:pPr>
    </w:p>
    <w:p>
      <w:pPr>
        <w:pStyle w:val="2"/>
        <w:rPr>
          <w:rFonts w:hint="default"/>
        </w:rPr>
      </w:pPr>
    </w:p>
    <w:p>
      <w:pPr>
        <w:spacing w:line="600" w:lineRule="exact"/>
        <w:jc w:val="center"/>
        <w:rPr>
          <w:rFonts w:ascii="Arial" w:hAnsi="Arial" w:eastAsia="宋体"/>
          <w:b/>
          <w:bCs/>
          <w:sz w:val="32"/>
          <w:szCs w:val="32"/>
        </w:rPr>
      </w:pPr>
    </w:p>
    <w:p>
      <w:pPr>
        <w:spacing w:line="600" w:lineRule="exact"/>
        <w:jc w:val="center"/>
        <w:rPr>
          <w:rFonts w:ascii="Arial" w:hAnsi="Arial" w:eastAsia="宋体"/>
          <w:b/>
          <w:bCs/>
          <w:sz w:val="32"/>
          <w:szCs w:val="32"/>
        </w:rPr>
      </w:pPr>
    </w:p>
    <w:p>
      <w:pPr>
        <w:spacing w:line="600" w:lineRule="exact"/>
        <w:jc w:val="center"/>
        <w:rPr>
          <w:rFonts w:ascii="Arial" w:hAnsi="Arial" w:eastAsia="宋体"/>
          <w:b/>
          <w:bCs/>
          <w:sz w:val="32"/>
          <w:szCs w:val="32"/>
        </w:rPr>
      </w:pPr>
    </w:p>
    <w:p>
      <w:pPr>
        <w:spacing w:line="600" w:lineRule="exact"/>
        <w:jc w:val="center"/>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val="0"/>
          <w:bCs w:val="0"/>
          <w:sz w:val="44"/>
          <w:szCs w:val="44"/>
          <w:lang w:val="en-US" w:eastAsia="zh-CN"/>
        </w:rPr>
        <w:t>2026</w:t>
      </w:r>
      <w:r>
        <w:rPr>
          <w:rFonts w:hint="eastAsia" w:ascii="方正小标宋简体" w:hAnsi="方正小标宋简体" w:eastAsia="方正小标宋简体" w:cs="方正小标宋简体"/>
          <w:b w:val="0"/>
          <w:bCs w:val="0"/>
          <w:sz w:val="44"/>
          <w:szCs w:val="44"/>
          <w:lang w:eastAsia="zh-CN"/>
        </w:rPr>
        <w:t>年度</w:t>
      </w:r>
      <w:r>
        <w:rPr>
          <w:rFonts w:hint="eastAsia" w:ascii="方正小标宋简体" w:hAnsi="方正小标宋简体" w:eastAsia="方正小标宋简体" w:cs="方正小标宋简体"/>
          <w:b/>
          <w:bCs/>
          <w:sz w:val="44"/>
          <w:szCs w:val="44"/>
          <w:lang w:eastAsia="zh-CN"/>
        </w:rPr>
        <w:t>巴彦淖尔市房屋产权交易中心</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预算公开</w:t>
      </w: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pStyle w:val="2"/>
        <w:spacing w:after="0" w:line="600" w:lineRule="exact"/>
        <w:ind w:left="0" w:leftChars="0" w:firstLine="0"/>
        <w:jc w:val="center"/>
        <w:rPr>
          <w:rFonts w:hint="default" w:ascii="黑体" w:hAnsi="黑体" w:eastAsia="黑体" w:cs="黑体"/>
        </w:rPr>
      </w:pPr>
      <w:r>
        <w:rPr>
          <w:rFonts w:ascii="黑体" w:hAnsi="黑体" w:eastAsia="黑体" w:cs="黑体"/>
          <w:sz w:val="32"/>
          <w:szCs w:val="32"/>
        </w:rPr>
        <w:t>批复时间：</w:t>
      </w:r>
      <w:r>
        <w:rPr>
          <w:rFonts w:ascii="黑体" w:hAnsi="黑体" w:eastAsia="黑体" w:cs="黑体"/>
          <w:sz w:val="32"/>
          <w:szCs w:val="32"/>
          <w:u w:val="single"/>
        </w:rPr>
        <w:t xml:space="preserve"> </w:t>
      </w:r>
      <w:r>
        <w:rPr>
          <w:rFonts w:hint="eastAsia" w:ascii="黑体" w:hAnsi="黑体" w:eastAsia="黑体" w:cs="黑体"/>
          <w:sz w:val="32"/>
          <w:szCs w:val="32"/>
          <w:u w:val="single"/>
          <w:lang w:val="en-US" w:eastAsia="zh-CN"/>
        </w:rPr>
        <w:t>2026</w:t>
      </w:r>
      <w:r>
        <w:rPr>
          <w:rFonts w:ascii="黑体" w:hAnsi="黑体" w:eastAsia="黑体" w:cs="黑体"/>
          <w:sz w:val="32"/>
          <w:szCs w:val="32"/>
          <w:u w:val="single"/>
        </w:rPr>
        <w:t xml:space="preserve"> 年 </w:t>
      </w:r>
      <w:r>
        <w:rPr>
          <w:rFonts w:hint="eastAsia" w:ascii="黑体" w:hAnsi="黑体" w:eastAsia="黑体" w:cs="黑体"/>
          <w:sz w:val="32"/>
          <w:szCs w:val="32"/>
          <w:u w:val="single"/>
          <w:lang w:val="en-US" w:eastAsia="zh-CN"/>
        </w:rPr>
        <w:t>01</w:t>
      </w:r>
      <w:r>
        <w:rPr>
          <w:rFonts w:ascii="黑体" w:hAnsi="黑体" w:eastAsia="黑体" w:cs="黑体"/>
          <w:sz w:val="32"/>
          <w:szCs w:val="32"/>
          <w:u w:val="single"/>
        </w:rPr>
        <w:t xml:space="preserve"> 月</w:t>
      </w:r>
      <w:r>
        <w:rPr>
          <w:rFonts w:hint="eastAsia" w:ascii="黑体" w:hAnsi="黑体" w:eastAsia="黑体" w:cs="黑体"/>
          <w:sz w:val="32"/>
          <w:szCs w:val="32"/>
          <w:u w:val="single"/>
          <w:lang w:val="en-US" w:eastAsia="zh-CN"/>
        </w:rPr>
        <w:t>29</w:t>
      </w:r>
      <w:r>
        <w:rPr>
          <w:rFonts w:ascii="黑体" w:hAnsi="黑体" w:eastAsia="黑体" w:cs="黑体"/>
          <w:sz w:val="32"/>
          <w:szCs w:val="32"/>
          <w:u w:val="single"/>
        </w:rPr>
        <w:t>日</w:t>
      </w:r>
    </w:p>
    <w:p>
      <w:pPr>
        <w:pStyle w:val="2"/>
        <w:spacing w:after="0" w:line="600" w:lineRule="exact"/>
        <w:ind w:left="0" w:leftChars="0" w:firstLine="1920" w:firstLineChars="600"/>
        <w:jc w:val="both"/>
        <w:rPr>
          <w:rFonts w:hint="default" w:ascii="黑体" w:hAnsi="黑体" w:eastAsia="黑体" w:cs="黑体"/>
        </w:rPr>
      </w:pPr>
      <w:r>
        <w:rPr>
          <w:rFonts w:ascii="黑体" w:hAnsi="黑体" w:eastAsia="黑体" w:cs="黑体"/>
          <w:sz w:val="32"/>
          <w:szCs w:val="32"/>
        </w:rPr>
        <w:t>公开时间：</w:t>
      </w:r>
      <w:r>
        <w:rPr>
          <w:rFonts w:hint="eastAsia" w:ascii="黑体" w:hAnsi="黑体" w:eastAsia="黑体" w:cs="黑体"/>
          <w:sz w:val="32"/>
          <w:szCs w:val="32"/>
          <w:lang w:val="en-US" w:eastAsia="zh-CN"/>
        </w:rPr>
        <w:t xml:space="preserve"> </w:t>
      </w:r>
      <w:r>
        <w:rPr>
          <w:rFonts w:hint="eastAsia" w:ascii="黑体" w:hAnsi="黑体" w:eastAsia="黑体" w:cs="黑体"/>
          <w:sz w:val="32"/>
          <w:szCs w:val="32"/>
          <w:u w:val="single"/>
          <w:lang w:val="en-US" w:eastAsia="zh-CN"/>
        </w:rPr>
        <w:t>2026</w:t>
      </w:r>
      <w:r>
        <w:rPr>
          <w:rFonts w:ascii="黑体" w:hAnsi="黑体" w:eastAsia="黑体" w:cs="黑体"/>
          <w:sz w:val="32"/>
          <w:szCs w:val="32"/>
          <w:u w:val="single"/>
        </w:rPr>
        <w:t xml:space="preserve"> 年 </w:t>
      </w:r>
      <w:r>
        <w:rPr>
          <w:rFonts w:hint="eastAsia" w:ascii="黑体" w:hAnsi="黑体" w:eastAsia="黑体" w:cs="黑体"/>
          <w:sz w:val="32"/>
          <w:szCs w:val="32"/>
          <w:u w:val="single"/>
          <w:lang w:val="en-US" w:eastAsia="zh-CN"/>
        </w:rPr>
        <w:t>02</w:t>
      </w:r>
      <w:r>
        <w:rPr>
          <w:rFonts w:ascii="黑体" w:hAnsi="黑体" w:eastAsia="黑体" w:cs="黑体"/>
          <w:sz w:val="32"/>
          <w:szCs w:val="32"/>
          <w:u w:val="single"/>
        </w:rPr>
        <w:t xml:space="preserve">月 </w:t>
      </w:r>
      <w:r>
        <w:rPr>
          <w:rFonts w:hint="eastAsia" w:ascii="黑体" w:hAnsi="黑体" w:eastAsia="黑体" w:cs="黑体"/>
          <w:sz w:val="32"/>
          <w:szCs w:val="32"/>
          <w:u w:val="single"/>
          <w:lang w:val="en-US" w:eastAsia="zh-CN"/>
        </w:rPr>
        <w:t xml:space="preserve">02 </w:t>
      </w:r>
      <w:r>
        <w:rPr>
          <w:rFonts w:ascii="黑体" w:hAnsi="黑体" w:eastAsia="黑体" w:cs="黑体"/>
          <w:sz w:val="32"/>
          <w:szCs w:val="32"/>
          <w:u w:val="single"/>
        </w:rPr>
        <w:t>日</w:t>
      </w:r>
    </w:p>
    <w:p>
      <w:pPr>
        <w:adjustRightInd w:val="0"/>
        <w:snapToGrid w:val="0"/>
        <w:spacing w:line="600" w:lineRule="exact"/>
        <w:ind w:firstLine="640"/>
        <w:rPr>
          <w:rFonts w:eastAsia="仿宋_GB2312"/>
          <w:sz w:val="32"/>
          <w:szCs w:val="32"/>
        </w:rPr>
      </w:pPr>
    </w:p>
    <w:p>
      <w:pPr>
        <w:pageBreakBefore/>
        <w:tabs>
          <w:tab w:val="left" w:pos="4533"/>
        </w:tabs>
        <w:adjustRightInd w:val="0"/>
        <w:snapToGrid w:val="0"/>
        <w:spacing w:line="600" w:lineRule="exact"/>
        <w:jc w:val="center"/>
        <w:rPr>
          <w:sz w:val="44"/>
          <w:szCs w:val="44"/>
        </w:rPr>
      </w:pPr>
      <w:r>
        <w:rPr>
          <w:sz w:val="44"/>
          <w:szCs w:val="44"/>
        </w:rPr>
        <w:t>目</w:t>
      </w:r>
      <w:r>
        <w:rPr>
          <w:rFonts w:hint="eastAsia" w:eastAsia="宋体"/>
          <w:sz w:val="44"/>
          <w:szCs w:val="44"/>
        </w:rPr>
        <w:t xml:space="preserve">  </w:t>
      </w:r>
      <w:r>
        <w:rPr>
          <w:rFonts w:hint="eastAsia"/>
          <w:sz w:val="44"/>
          <w:szCs w:val="44"/>
        </w:rPr>
        <w:t xml:space="preserve">  </w:t>
      </w:r>
      <w:r>
        <w:rPr>
          <w:sz w:val="44"/>
          <w:szCs w:val="44"/>
        </w:rPr>
        <w:t>录</w:t>
      </w:r>
    </w:p>
    <w:p/>
    <w:p>
      <w:pPr>
        <w:pStyle w:val="11"/>
        <w:spacing w:after="0" w:line="600" w:lineRule="exact"/>
        <w:rPr>
          <w:rFonts w:ascii="黑体" w:hAnsi="黑体" w:eastAsia="黑体" w:cs="黑体"/>
          <w:sz w:val="32"/>
          <w:szCs w:val="32"/>
        </w:rPr>
      </w:pPr>
      <w:r>
        <w:rPr>
          <w:rFonts w:hint="eastAsia" w:ascii="黑体" w:hAnsi="黑体" w:eastAsia="黑体" w:cs="黑体"/>
          <w:sz w:val="32"/>
          <w:szCs w:val="32"/>
        </w:rPr>
        <w:t>第一部分 单位概况</w:t>
      </w:r>
    </w:p>
    <w:p>
      <w:pPr>
        <w:pStyle w:val="11"/>
        <w:spacing w:after="0" w:line="600" w:lineRule="exact"/>
        <w:rPr>
          <w:rFonts w:eastAsia="仿宋_GB2312" w:cs="仿宋"/>
          <w:sz w:val="32"/>
          <w:szCs w:val="32"/>
        </w:rPr>
      </w:pPr>
      <w:r>
        <w:rPr>
          <w:rFonts w:hint="eastAsia" w:eastAsia="仿宋_GB2312" w:cs="仿宋"/>
          <w:w w:val="95"/>
          <w:sz w:val="32"/>
          <w:szCs w:val="32"/>
        </w:rPr>
        <w:t>一、主要职能、职责</w:t>
      </w:r>
    </w:p>
    <w:p>
      <w:pPr>
        <w:pStyle w:val="11"/>
        <w:spacing w:after="0" w:line="600" w:lineRule="exact"/>
        <w:rPr>
          <w:rFonts w:eastAsia="仿宋_GB2312" w:cs="仿宋"/>
          <w:sz w:val="32"/>
          <w:szCs w:val="32"/>
        </w:rPr>
      </w:pPr>
      <w:r>
        <w:rPr>
          <w:rFonts w:hint="eastAsia" w:eastAsia="仿宋_GB2312" w:cs="仿宋"/>
          <w:sz w:val="32"/>
          <w:szCs w:val="32"/>
        </w:rPr>
        <w:t>二、单位机构设置及预算单位构成情况</w:t>
      </w:r>
    </w:p>
    <w:p>
      <w:pPr>
        <w:pStyle w:val="11"/>
        <w:spacing w:after="0" w:line="600" w:lineRule="exact"/>
        <w:rPr>
          <w:rFonts w:eastAsia="仿宋_GB2312" w:cs="仿宋"/>
          <w:sz w:val="32"/>
          <w:szCs w:val="32"/>
        </w:rPr>
      </w:pPr>
      <w:r>
        <w:rPr>
          <w:rFonts w:hint="eastAsia" w:eastAsia="仿宋_GB2312" w:cs="仿宋"/>
          <w:sz w:val="32"/>
          <w:szCs w:val="32"/>
        </w:rPr>
        <w:t>三、</w:t>
      </w:r>
      <w:r>
        <w:rPr>
          <w:rFonts w:hint="eastAsia" w:ascii="仿宋_GB2312" w:hAnsi="仿宋_GB2312" w:eastAsia="仿宋_GB2312" w:cs="仿宋"/>
          <w:sz w:val="32"/>
          <w:szCs w:val="32"/>
          <w:lang w:val="en-US" w:eastAsia="zh-CN"/>
        </w:rPr>
        <w:t>2026</w:t>
      </w:r>
      <w:r>
        <w:rPr>
          <w:rFonts w:hint="eastAsia" w:eastAsia="仿宋_GB2312" w:cs="仿宋"/>
          <w:sz w:val="32"/>
          <w:szCs w:val="32"/>
        </w:rPr>
        <w:t>年度单位主要工作任务及目标</w:t>
      </w:r>
    </w:p>
    <w:p>
      <w:pPr>
        <w:pStyle w:val="11"/>
        <w:spacing w:after="0" w:line="600" w:lineRule="exact"/>
        <w:rPr>
          <w:rFonts w:ascii="黑体" w:hAnsi="黑体" w:eastAsia="黑体" w:cs="黑体"/>
          <w:sz w:val="32"/>
          <w:szCs w:val="32"/>
        </w:rPr>
      </w:pPr>
      <w:r>
        <w:rPr>
          <w:rFonts w:hint="eastAsia" w:ascii="黑体" w:hAnsi="黑体" w:eastAsia="黑体" w:cs="黑体"/>
          <w:sz w:val="32"/>
          <w:szCs w:val="32"/>
        </w:rPr>
        <w:t xml:space="preserve">第二部分 </w:t>
      </w:r>
      <w:r>
        <w:rPr>
          <w:rFonts w:hint="eastAsia" w:ascii="黑体" w:hAnsi="黑体" w:eastAsia="黑体" w:cs="黑体"/>
          <w:sz w:val="32"/>
          <w:szCs w:val="32"/>
          <w:lang w:val="en-US" w:eastAsia="zh-CN"/>
        </w:rPr>
        <w:t>2026</w:t>
      </w:r>
      <w:r>
        <w:rPr>
          <w:rFonts w:hint="eastAsia" w:ascii="黑体" w:hAnsi="黑体" w:eastAsia="黑体" w:cs="黑体"/>
          <w:sz w:val="32"/>
          <w:szCs w:val="32"/>
        </w:rPr>
        <w:t>年度单位预算情况说明</w:t>
      </w:r>
    </w:p>
    <w:p>
      <w:pPr>
        <w:pStyle w:val="11"/>
        <w:spacing w:after="0" w:line="600" w:lineRule="exact"/>
        <w:rPr>
          <w:rFonts w:eastAsia="仿宋_GB2312" w:cs="仿宋"/>
          <w:sz w:val="32"/>
          <w:szCs w:val="32"/>
        </w:rPr>
      </w:pPr>
      <w:r>
        <w:rPr>
          <w:rFonts w:hint="eastAsia" w:eastAsia="仿宋_GB2312" w:cs="仿宋"/>
          <w:sz w:val="32"/>
          <w:szCs w:val="32"/>
        </w:rPr>
        <w:t>一、收支预算总体情况说明</w:t>
      </w:r>
    </w:p>
    <w:p>
      <w:pPr>
        <w:pStyle w:val="11"/>
        <w:spacing w:after="0" w:line="600" w:lineRule="exact"/>
        <w:rPr>
          <w:rFonts w:eastAsia="仿宋_GB2312" w:cs="仿宋"/>
          <w:sz w:val="32"/>
          <w:szCs w:val="32"/>
        </w:rPr>
      </w:pPr>
      <w:r>
        <w:rPr>
          <w:rFonts w:hint="eastAsia" w:eastAsia="仿宋_GB2312" w:cs="仿宋"/>
          <w:sz w:val="32"/>
          <w:szCs w:val="32"/>
        </w:rPr>
        <w:t>二、收入预算情况说明</w:t>
      </w:r>
    </w:p>
    <w:p>
      <w:pPr>
        <w:pStyle w:val="11"/>
        <w:spacing w:after="0" w:line="600" w:lineRule="exact"/>
        <w:rPr>
          <w:rFonts w:eastAsia="仿宋_GB2312" w:cs="仿宋"/>
          <w:sz w:val="32"/>
          <w:szCs w:val="32"/>
        </w:rPr>
      </w:pPr>
      <w:r>
        <w:rPr>
          <w:rFonts w:hint="eastAsia" w:eastAsia="仿宋_GB2312" w:cs="仿宋"/>
          <w:sz w:val="32"/>
          <w:szCs w:val="32"/>
        </w:rPr>
        <w:t>三、支出预算情况说明</w:t>
      </w:r>
    </w:p>
    <w:p>
      <w:pPr>
        <w:pStyle w:val="11"/>
        <w:spacing w:after="0" w:line="600" w:lineRule="exact"/>
        <w:rPr>
          <w:rFonts w:eastAsia="仿宋_GB2312" w:cs="仿宋"/>
          <w:sz w:val="32"/>
          <w:szCs w:val="32"/>
        </w:rPr>
      </w:pPr>
      <w:r>
        <w:rPr>
          <w:rFonts w:hint="eastAsia" w:eastAsia="仿宋_GB2312" w:cs="仿宋"/>
          <w:sz w:val="32"/>
          <w:szCs w:val="32"/>
        </w:rPr>
        <w:t>四、财政拨款收支预算总体情况说明</w:t>
      </w:r>
    </w:p>
    <w:p>
      <w:pPr>
        <w:pStyle w:val="11"/>
        <w:spacing w:after="0" w:line="600" w:lineRule="exact"/>
        <w:rPr>
          <w:rFonts w:eastAsia="仿宋_GB2312" w:cs="仿宋"/>
          <w:sz w:val="32"/>
          <w:szCs w:val="32"/>
        </w:rPr>
      </w:pPr>
      <w:r>
        <w:rPr>
          <w:rFonts w:hint="eastAsia" w:eastAsia="仿宋_GB2312" w:cs="仿宋"/>
          <w:sz w:val="32"/>
          <w:szCs w:val="32"/>
        </w:rPr>
        <w:t>五、一般公共预算支出预算情况说明</w:t>
      </w:r>
    </w:p>
    <w:p>
      <w:pPr>
        <w:pStyle w:val="11"/>
        <w:spacing w:after="0" w:line="600" w:lineRule="exact"/>
        <w:rPr>
          <w:rFonts w:eastAsia="仿宋_GB2312" w:cs="仿宋"/>
          <w:sz w:val="32"/>
          <w:szCs w:val="32"/>
        </w:rPr>
      </w:pPr>
      <w:r>
        <w:rPr>
          <w:rFonts w:hint="eastAsia" w:eastAsia="仿宋_GB2312" w:cs="仿宋"/>
          <w:sz w:val="32"/>
          <w:szCs w:val="32"/>
        </w:rPr>
        <w:t>六、一般公共预算基本支出预算情况说明</w:t>
      </w:r>
    </w:p>
    <w:p>
      <w:pPr>
        <w:pStyle w:val="11"/>
        <w:spacing w:after="0" w:line="600" w:lineRule="exact"/>
        <w:rPr>
          <w:rFonts w:eastAsia="仿宋_GB2312" w:cs="仿宋"/>
          <w:sz w:val="32"/>
          <w:szCs w:val="32"/>
        </w:rPr>
      </w:pPr>
      <w:r>
        <w:rPr>
          <w:rFonts w:hint="eastAsia" w:eastAsia="仿宋_GB2312" w:cs="仿宋"/>
          <w:sz w:val="32"/>
          <w:szCs w:val="32"/>
        </w:rPr>
        <w:t>七、一般公共预算“三公”经费支出预算情况说明</w:t>
      </w:r>
    </w:p>
    <w:p>
      <w:pPr>
        <w:pStyle w:val="11"/>
        <w:spacing w:after="0" w:line="600" w:lineRule="exact"/>
        <w:rPr>
          <w:rFonts w:eastAsia="仿宋_GB2312" w:cs="仿宋"/>
          <w:sz w:val="32"/>
          <w:szCs w:val="32"/>
        </w:rPr>
      </w:pPr>
      <w:r>
        <w:rPr>
          <w:rFonts w:hint="eastAsia" w:eastAsia="仿宋_GB2312" w:cs="仿宋"/>
          <w:sz w:val="32"/>
          <w:szCs w:val="32"/>
        </w:rPr>
        <w:t>八、政府性基金预算支出预算情况说明</w:t>
      </w:r>
    </w:p>
    <w:p>
      <w:pPr>
        <w:pStyle w:val="11"/>
        <w:spacing w:after="0" w:line="600" w:lineRule="exact"/>
        <w:rPr>
          <w:rFonts w:eastAsia="仿宋_GB2312" w:cs="仿宋"/>
          <w:sz w:val="32"/>
          <w:szCs w:val="32"/>
        </w:rPr>
      </w:pPr>
      <w:r>
        <w:rPr>
          <w:rFonts w:hint="eastAsia" w:eastAsia="仿宋_GB2312" w:cs="仿宋"/>
          <w:sz w:val="32"/>
          <w:szCs w:val="32"/>
        </w:rPr>
        <w:t>九、国有资本经营预算支出预算情况说明</w:t>
      </w:r>
    </w:p>
    <w:p>
      <w:pPr>
        <w:pStyle w:val="11"/>
        <w:spacing w:after="0" w:line="600" w:lineRule="exact"/>
        <w:rPr>
          <w:rFonts w:eastAsia="仿宋_GB2312" w:cs="仿宋"/>
          <w:sz w:val="32"/>
          <w:szCs w:val="32"/>
        </w:rPr>
      </w:pPr>
      <w:r>
        <w:rPr>
          <w:rFonts w:hint="eastAsia" w:eastAsia="仿宋_GB2312" w:cs="仿宋"/>
          <w:sz w:val="32"/>
          <w:szCs w:val="32"/>
        </w:rPr>
        <w:t>十、项目支出预算情况说明</w:t>
      </w:r>
    </w:p>
    <w:p>
      <w:pPr>
        <w:pStyle w:val="11"/>
        <w:spacing w:after="0" w:line="600" w:lineRule="exact"/>
        <w:rPr>
          <w:rFonts w:eastAsia="仿宋_GB2312" w:cs="仿宋"/>
          <w:sz w:val="32"/>
          <w:szCs w:val="32"/>
        </w:rPr>
      </w:pPr>
      <w:r>
        <w:rPr>
          <w:rFonts w:hint="eastAsia" w:eastAsia="仿宋_GB2312" w:cs="仿宋"/>
          <w:sz w:val="32"/>
          <w:szCs w:val="32"/>
        </w:rPr>
        <w:t>十一、机构运行经费支出预算情况说明</w:t>
      </w:r>
    </w:p>
    <w:p>
      <w:pPr>
        <w:pStyle w:val="11"/>
        <w:spacing w:after="0" w:line="600" w:lineRule="exact"/>
        <w:rPr>
          <w:rFonts w:eastAsia="仿宋_GB2312" w:cs="仿宋"/>
          <w:sz w:val="32"/>
          <w:szCs w:val="32"/>
        </w:rPr>
      </w:pPr>
      <w:r>
        <w:rPr>
          <w:rFonts w:hint="eastAsia" w:eastAsia="仿宋_GB2312" w:cs="仿宋"/>
          <w:sz w:val="32"/>
          <w:szCs w:val="32"/>
        </w:rPr>
        <w:t>十二、政府采购支出预算情况说明</w:t>
      </w:r>
    </w:p>
    <w:p>
      <w:pPr>
        <w:pStyle w:val="11"/>
        <w:spacing w:after="0" w:line="600" w:lineRule="exact"/>
        <w:rPr>
          <w:rFonts w:eastAsia="仿宋_GB2312" w:cs="仿宋"/>
          <w:sz w:val="32"/>
          <w:szCs w:val="32"/>
        </w:rPr>
      </w:pPr>
      <w:r>
        <w:rPr>
          <w:rFonts w:hint="eastAsia" w:eastAsia="仿宋_GB2312" w:cs="仿宋"/>
          <w:sz w:val="32"/>
          <w:szCs w:val="32"/>
        </w:rPr>
        <w:t>十三、国有资产占用情况说明</w:t>
      </w:r>
    </w:p>
    <w:p>
      <w:pPr>
        <w:widowControl/>
        <w:spacing w:line="600" w:lineRule="exact"/>
        <w:jc w:val="left"/>
        <w:rPr>
          <w:rFonts w:eastAsia="仿宋_GB2312" w:cs="仿宋"/>
          <w:sz w:val="32"/>
          <w:szCs w:val="32"/>
        </w:rPr>
      </w:pPr>
      <w:r>
        <w:rPr>
          <w:rFonts w:hint="eastAsia" w:eastAsia="仿宋_GB2312" w:cs="仿宋"/>
          <w:sz w:val="32"/>
          <w:szCs w:val="32"/>
        </w:rPr>
        <w:t xml:space="preserve">十四、项目绩效目标情况说明 </w:t>
      </w:r>
    </w:p>
    <w:p>
      <w:pPr>
        <w:pStyle w:val="11"/>
        <w:spacing w:after="0" w:line="600" w:lineRule="exact"/>
        <w:rPr>
          <w:rFonts w:ascii="黑体" w:hAnsi="黑体" w:eastAsia="黑体" w:cs="黑体"/>
          <w:sz w:val="32"/>
          <w:szCs w:val="32"/>
        </w:rPr>
      </w:pPr>
      <w:r>
        <w:rPr>
          <w:rFonts w:hint="eastAsia" w:ascii="黑体" w:hAnsi="黑体" w:eastAsia="黑体" w:cs="黑体"/>
          <w:sz w:val="32"/>
          <w:szCs w:val="32"/>
        </w:rPr>
        <w:t>第三部分 名词解释</w:t>
      </w:r>
    </w:p>
    <w:p>
      <w:pPr>
        <w:pStyle w:val="11"/>
        <w:spacing w:after="0" w:line="600" w:lineRule="exact"/>
        <w:rPr>
          <w:rFonts w:ascii="黑体" w:hAnsi="黑体" w:eastAsia="黑体" w:cs="黑体"/>
          <w:sz w:val="32"/>
          <w:szCs w:val="32"/>
        </w:rPr>
      </w:pPr>
      <w:r>
        <w:rPr>
          <w:rFonts w:hint="eastAsia" w:ascii="黑体" w:hAnsi="黑体" w:eastAsia="黑体" w:cs="黑体"/>
          <w:sz w:val="32"/>
          <w:szCs w:val="32"/>
        </w:rPr>
        <w:t>第四部分 预算公开联系方式及信息反馈渠道</w:t>
      </w:r>
    </w:p>
    <w:p>
      <w:pPr>
        <w:pStyle w:val="11"/>
        <w:spacing w:after="0" w:line="600" w:lineRule="exact"/>
        <w:rPr>
          <w:rFonts w:ascii="黑体" w:hAnsi="黑体" w:eastAsia="黑体" w:cs="黑体"/>
          <w:sz w:val="32"/>
          <w:szCs w:val="32"/>
        </w:rPr>
      </w:pPr>
      <w:r>
        <w:rPr>
          <w:rFonts w:hint="eastAsia" w:ascii="黑体" w:hAnsi="黑体" w:eastAsia="黑体" w:cs="黑体"/>
          <w:sz w:val="32"/>
          <w:szCs w:val="32"/>
        </w:rPr>
        <w:t xml:space="preserve">第五部分 </w:t>
      </w:r>
      <w:r>
        <w:rPr>
          <w:rFonts w:hint="eastAsia" w:ascii="黑体" w:hAnsi="黑体" w:eastAsia="黑体" w:cs="黑体"/>
          <w:sz w:val="32"/>
          <w:szCs w:val="32"/>
          <w:lang w:val="en-US" w:eastAsia="zh-CN"/>
        </w:rPr>
        <w:t>2026</w:t>
      </w:r>
      <w:r>
        <w:rPr>
          <w:rFonts w:hint="eastAsia" w:ascii="黑体" w:hAnsi="黑体" w:eastAsia="黑体" w:cs="黑体"/>
          <w:sz w:val="32"/>
          <w:szCs w:val="32"/>
        </w:rPr>
        <w:t>年度单位预算表</w:t>
      </w:r>
    </w:p>
    <w:p>
      <w:pPr>
        <w:pStyle w:val="11"/>
        <w:spacing w:after="0" w:line="600" w:lineRule="exact"/>
        <w:rPr>
          <w:rFonts w:eastAsia="仿宋_GB2312" w:cs="仿宋"/>
          <w:sz w:val="32"/>
          <w:szCs w:val="32"/>
        </w:rPr>
      </w:pPr>
      <w:r>
        <w:rPr>
          <w:rFonts w:hint="eastAsia" w:eastAsia="仿宋_GB2312" w:cs="仿宋"/>
          <w:sz w:val="32"/>
          <w:szCs w:val="32"/>
        </w:rPr>
        <w:t>一、收支总表</w:t>
      </w:r>
    </w:p>
    <w:p>
      <w:pPr>
        <w:pStyle w:val="11"/>
        <w:spacing w:after="0" w:line="600" w:lineRule="exact"/>
        <w:rPr>
          <w:rFonts w:eastAsia="仿宋_GB2312" w:cs="仿宋"/>
          <w:sz w:val="32"/>
          <w:szCs w:val="32"/>
        </w:rPr>
      </w:pPr>
      <w:r>
        <w:rPr>
          <w:rFonts w:hint="eastAsia" w:eastAsia="仿宋_GB2312" w:cs="仿宋"/>
          <w:sz w:val="32"/>
          <w:szCs w:val="32"/>
        </w:rPr>
        <w:t>二、收入总表</w:t>
      </w:r>
    </w:p>
    <w:p>
      <w:pPr>
        <w:pStyle w:val="11"/>
        <w:spacing w:after="0" w:line="600" w:lineRule="exact"/>
        <w:rPr>
          <w:rFonts w:eastAsia="仿宋_GB2312" w:cs="仿宋"/>
          <w:sz w:val="32"/>
          <w:szCs w:val="32"/>
        </w:rPr>
      </w:pPr>
      <w:r>
        <w:rPr>
          <w:rFonts w:hint="eastAsia" w:eastAsia="仿宋_GB2312" w:cs="仿宋"/>
          <w:w w:val="95"/>
          <w:sz w:val="32"/>
          <w:szCs w:val="32"/>
        </w:rPr>
        <w:t>三、支出总表</w:t>
      </w:r>
    </w:p>
    <w:p>
      <w:pPr>
        <w:pStyle w:val="11"/>
        <w:spacing w:after="0" w:line="600" w:lineRule="exact"/>
        <w:rPr>
          <w:rFonts w:eastAsia="仿宋_GB2312" w:cs="仿宋"/>
          <w:sz w:val="32"/>
          <w:szCs w:val="32"/>
        </w:rPr>
      </w:pPr>
      <w:r>
        <w:rPr>
          <w:rFonts w:hint="eastAsia" w:eastAsia="仿宋_GB2312" w:cs="仿宋"/>
          <w:w w:val="95"/>
          <w:sz w:val="32"/>
          <w:szCs w:val="32"/>
        </w:rPr>
        <w:t>四、财政拨款收支总表</w:t>
      </w:r>
    </w:p>
    <w:p>
      <w:pPr>
        <w:pStyle w:val="11"/>
        <w:spacing w:after="0" w:line="600" w:lineRule="exact"/>
        <w:rPr>
          <w:rFonts w:eastAsia="仿宋_GB2312" w:cs="仿宋"/>
          <w:sz w:val="32"/>
          <w:szCs w:val="32"/>
        </w:rPr>
      </w:pPr>
      <w:r>
        <w:rPr>
          <w:rFonts w:hint="eastAsia" w:eastAsia="仿宋_GB2312" w:cs="仿宋"/>
          <w:w w:val="95"/>
          <w:sz w:val="32"/>
          <w:szCs w:val="32"/>
        </w:rPr>
        <w:t>五、一般公共预算支出表</w:t>
      </w:r>
    </w:p>
    <w:p>
      <w:pPr>
        <w:pStyle w:val="11"/>
        <w:spacing w:after="0" w:line="600" w:lineRule="exact"/>
        <w:rPr>
          <w:rFonts w:eastAsia="仿宋_GB2312" w:cs="仿宋"/>
          <w:sz w:val="32"/>
          <w:szCs w:val="32"/>
        </w:rPr>
      </w:pPr>
      <w:r>
        <w:rPr>
          <w:rFonts w:hint="eastAsia" w:eastAsia="仿宋_GB2312" w:cs="仿宋"/>
          <w:w w:val="95"/>
          <w:sz w:val="32"/>
          <w:szCs w:val="32"/>
        </w:rPr>
        <w:t>六、一般公共预算基本支出表</w:t>
      </w:r>
    </w:p>
    <w:p>
      <w:pPr>
        <w:pStyle w:val="11"/>
        <w:spacing w:after="0" w:line="600" w:lineRule="exact"/>
        <w:rPr>
          <w:rFonts w:eastAsia="仿宋_GB2312" w:cs="仿宋"/>
          <w:spacing w:val="-16"/>
          <w:w w:val="95"/>
          <w:sz w:val="32"/>
          <w:szCs w:val="32"/>
        </w:rPr>
      </w:pPr>
      <w:r>
        <w:rPr>
          <w:rFonts w:hint="eastAsia" w:eastAsia="仿宋_GB2312" w:cs="仿宋"/>
          <w:spacing w:val="-17"/>
          <w:w w:val="95"/>
          <w:sz w:val="32"/>
          <w:szCs w:val="32"/>
        </w:rPr>
        <w:t>七、一般公共预算</w:t>
      </w:r>
      <w:r>
        <w:rPr>
          <w:rFonts w:hint="eastAsia" w:eastAsia="仿宋_GB2312" w:cs="仿宋"/>
          <w:spacing w:val="-8"/>
          <w:w w:val="95"/>
          <w:sz w:val="32"/>
          <w:szCs w:val="32"/>
        </w:rPr>
        <w:t>“</w:t>
      </w:r>
      <w:r>
        <w:rPr>
          <w:rFonts w:hint="eastAsia" w:eastAsia="仿宋_GB2312" w:cs="仿宋"/>
          <w:spacing w:val="-15"/>
          <w:w w:val="95"/>
          <w:sz w:val="32"/>
          <w:szCs w:val="32"/>
        </w:rPr>
        <w:t>三公</w:t>
      </w:r>
      <w:r>
        <w:rPr>
          <w:rFonts w:hint="eastAsia" w:eastAsia="仿宋_GB2312" w:cs="仿宋"/>
          <w:spacing w:val="-10"/>
          <w:w w:val="95"/>
          <w:sz w:val="32"/>
          <w:szCs w:val="32"/>
        </w:rPr>
        <w:t>”</w:t>
      </w:r>
      <w:r>
        <w:rPr>
          <w:rFonts w:hint="eastAsia" w:eastAsia="仿宋_GB2312" w:cs="仿宋"/>
          <w:spacing w:val="-16"/>
          <w:w w:val="95"/>
          <w:sz w:val="32"/>
          <w:szCs w:val="32"/>
        </w:rPr>
        <w:t>经费支出表</w:t>
      </w:r>
    </w:p>
    <w:p>
      <w:pPr>
        <w:pStyle w:val="11"/>
        <w:spacing w:after="0" w:line="600" w:lineRule="exact"/>
        <w:rPr>
          <w:rFonts w:eastAsia="仿宋_GB2312" w:cs="仿宋"/>
          <w:sz w:val="32"/>
          <w:szCs w:val="32"/>
        </w:rPr>
      </w:pPr>
      <w:r>
        <w:rPr>
          <w:rFonts w:hint="eastAsia" w:eastAsia="仿宋_GB2312" w:cs="仿宋"/>
          <w:spacing w:val="-16"/>
          <w:w w:val="95"/>
          <w:sz w:val="32"/>
          <w:szCs w:val="32"/>
        </w:rPr>
        <w:t>八、政府性基金预算支出表</w:t>
      </w:r>
    </w:p>
    <w:p>
      <w:pPr>
        <w:pStyle w:val="11"/>
        <w:spacing w:after="0" w:line="600" w:lineRule="exact"/>
        <w:rPr>
          <w:rFonts w:eastAsia="仿宋_GB2312" w:cs="仿宋"/>
          <w:sz w:val="32"/>
          <w:szCs w:val="32"/>
        </w:rPr>
      </w:pPr>
      <w:r>
        <w:rPr>
          <w:rFonts w:hint="eastAsia" w:eastAsia="仿宋_GB2312" w:cs="仿宋"/>
          <w:sz w:val="32"/>
          <w:szCs w:val="32"/>
        </w:rPr>
        <w:t>九、国有资本经营预算支出表</w:t>
      </w:r>
    </w:p>
    <w:p>
      <w:pPr>
        <w:pStyle w:val="11"/>
        <w:spacing w:after="0" w:line="600" w:lineRule="exact"/>
        <w:rPr>
          <w:rFonts w:eastAsia="仿宋_GB2312" w:cs="仿宋"/>
          <w:sz w:val="32"/>
          <w:szCs w:val="32"/>
        </w:rPr>
      </w:pPr>
      <w:r>
        <w:rPr>
          <w:rFonts w:hint="eastAsia" w:eastAsia="仿宋_GB2312" w:cs="仿宋"/>
          <w:sz w:val="32"/>
          <w:szCs w:val="32"/>
        </w:rPr>
        <w:t>十、项目支出表</w:t>
      </w:r>
    </w:p>
    <w:p>
      <w:pPr>
        <w:pStyle w:val="11"/>
        <w:spacing w:after="0" w:line="600" w:lineRule="exact"/>
        <w:rPr>
          <w:rFonts w:eastAsia="仿宋_GB2312" w:cs="仿宋"/>
          <w:sz w:val="32"/>
          <w:szCs w:val="32"/>
        </w:rPr>
      </w:pPr>
      <w:r>
        <w:rPr>
          <w:rFonts w:hint="eastAsia" w:eastAsia="仿宋_GB2312" w:cs="仿宋"/>
          <w:sz w:val="32"/>
          <w:szCs w:val="32"/>
        </w:rPr>
        <w:t>十一、项目绩效目标表</w:t>
      </w:r>
    </w:p>
    <w:p>
      <w:pPr>
        <w:pStyle w:val="11"/>
        <w:spacing w:after="0" w:line="600" w:lineRule="exact"/>
        <w:rPr>
          <w:rFonts w:eastAsia="仿宋_GB2312" w:cs="仿宋"/>
          <w:sz w:val="32"/>
          <w:szCs w:val="32"/>
        </w:rPr>
      </w:pPr>
      <w:r>
        <w:rPr>
          <w:rFonts w:hint="eastAsia" w:eastAsia="仿宋_GB2312" w:cs="仿宋"/>
          <w:w w:val="95"/>
          <w:sz w:val="32"/>
          <w:szCs w:val="32"/>
        </w:rPr>
        <w:t>十二、政府采购预算表</w:t>
      </w:r>
    </w:p>
    <w:p>
      <w:pPr>
        <w:pStyle w:val="2"/>
        <w:rPr>
          <w:rFonts w:hint="default"/>
        </w:rPr>
      </w:pPr>
    </w:p>
    <w:p>
      <w:pPr>
        <w:pStyle w:val="2"/>
        <w:rPr>
          <w:rFonts w:hint="default"/>
        </w:rPr>
        <w:sectPr>
          <w:headerReference r:id="rId3" w:type="default"/>
          <w:footerReference r:id="rId4" w:type="default"/>
          <w:pgSz w:w="11910" w:h="16840"/>
          <w:pgMar w:top="1582" w:right="1680" w:bottom="278" w:left="1640" w:header="720" w:footer="720" w:gutter="0"/>
          <w:pgNumType w:fmt="numberInDash"/>
          <w:cols w:space="0" w:num="1"/>
        </w:sectPr>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bCs/>
          <w:sz w:val="36"/>
          <w:szCs w:val="36"/>
        </w:rPr>
      </w:pPr>
      <w:bookmarkStart w:id="0" w:name="_Toc30742"/>
      <w:r>
        <w:rPr>
          <w:rFonts w:hint="eastAsia" w:ascii="方正小标宋简体" w:hAnsi="方正小标宋简体" w:eastAsia="方正小标宋简体" w:cs="方正小标宋简体"/>
          <w:b/>
          <w:bCs/>
          <w:sz w:val="36"/>
          <w:szCs w:val="36"/>
        </w:rPr>
        <w:t>第一部分  单位概况</w:t>
      </w:r>
      <w:bookmarkEnd w:id="0"/>
    </w:p>
    <w:p>
      <w:pPr>
        <w:spacing w:line="600" w:lineRule="exact"/>
        <w:rPr>
          <w:rFonts w:ascii="方正小标宋简体" w:hAnsi="方正小标宋简体" w:eastAsia="方正小标宋简体" w:cs="方正小标宋简体"/>
          <w:sz w:val="36"/>
          <w:szCs w:val="36"/>
        </w:rPr>
      </w:pPr>
    </w:p>
    <w:p>
      <w:pPr>
        <w:numPr>
          <w:ilvl w:val="0"/>
          <w:numId w:val="1"/>
        </w:numPr>
        <w:spacing w:line="600" w:lineRule="exact"/>
        <w:ind w:left="17" w:leftChars="8" w:firstLine="624" w:firstLineChars="195"/>
        <w:outlineLvl w:val="2"/>
        <w:rPr>
          <w:rFonts w:eastAsia="黑体" w:cs="黑体"/>
          <w:sz w:val="32"/>
          <w:szCs w:val="36"/>
        </w:rPr>
      </w:pPr>
      <w:r>
        <w:rPr>
          <w:rFonts w:hint="eastAsia" w:eastAsia="黑体" w:cs="黑体"/>
          <w:sz w:val="32"/>
          <w:szCs w:val="36"/>
        </w:rPr>
        <w:t>主要职能职责</w:t>
      </w:r>
    </w:p>
    <w:p>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outlineLvl w:val="2"/>
        <w:rPr>
          <w:rFonts w:hint="eastAsia" w:ascii="楷体_GB2312" w:eastAsia="楷体_GB2312"/>
          <w:b/>
          <w:bCs/>
          <w:sz w:val="32"/>
          <w:szCs w:val="32"/>
        </w:rPr>
      </w:pPr>
      <w:r>
        <w:rPr>
          <w:rFonts w:hint="eastAsia" w:ascii="楷体_GB2312" w:eastAsia="楷体_GB2312"/>
          <w:b/>
          <w:bCs/>
          <w:sz w:val="32"/>
          <w:szCs w:val="32"/>
        </w:rPr>
        <w:t>（一）</w:t>
      </w:r>
      <w:r>
        <w:rPr>
          <w:rFonts w:hint="eastAsia" w:ascii="楷体_GB2312" w:eastAsia="楷体_GB2312"/>
          <w:b/>
          <w:bCs/>
          <w:sz w:val="32"/>
          <w:szCs w:val="32"/>
          <w:lang w:val="en-US" w:eastAsia="zh-CN"/>
        </w:rPr>
        <w:t>单位</w:t>
      </w:r>
      <w:r>
        <w:rPr>
          <w:rFonts w:hint="eastAsia" w:ascii="楷体_GB2312" w:eastAsia="楷体_GB2312"/>
          <w:b/>
          <w:bCs/>
          <w:sz w:val="32"/>
          <w:szCs w:val="32"/>
        </w:rPr>
        <w:t>职能</w:t>
      </w:r>
    </w:p>
    <w:p>
      <w:pPr>
        <w:pStyle w:val="2"/>
        <w:keepNext w:val="0"/>
        <w:keepLines w:val="0"/>
        <w:pageBreakBefore w:val="0"/>
        <w:widowControl w:val="0"/>
        <w:kinsoku/>
        <w:wordWrap/>
        <w:overflowPunct/>
        <w:topLinePunct w:val="0"/>
        <w:autoSpaceDE/>
        <w:autoSpaceDN/>
        <w:bidi w:val="0"/>
        <w:adjustRightInd/>
        <w:spacing w:line="600" w:lineRule="exact"/>
        <w:textAlignment w:val="auto"/>
        <w:rPr>
          <w:rFonts w:hint="eastAsia" w:eastAsia="仿宋_GB2312"/>
          <w:sz w:val="32"/>
          <w:szCs w:val="32"/>
        </w:rPr>
      </w:pPr>
      <w:r>
        <w:rPr>
          <w:rFonts w:hint="eastAsia" w:eastAsia="仿宋_GB2312"/>
          <w:sz w:val="32"/>
          <w:szCs w:val="32"/>
        </w:rPr>
        <w:t>巴彦淖尔市</w:t>
      </w:r>
      <w:r>
        <w:rPr>
          <w:rFonts w:hint="eastAsia" w:eastAsia="仿宋_GB2312"/>
          <w:sz w:val="32"/>
          <w:szCs w:val="32"/>
          <w:lang w:val="en-US" w:eastAsia="zh-CN"/>
        </w:rPr>
        <w:t>房屋产权交易中心</w:t>
      </w:r>
      <w:r>
        <w:rPr>
          <w:rFonts w:hint="eastAsia" w:eastAsia="仿宋_GB2312"/>
          <w:sz w:val="32"/>
          <w:szCs w:val="32"/>
        </w:rPr>
        <w:t>是</w:t>
      </w:r>
      <w:r>
        <w:rPr>
          <w:rFonts w:hint="eastAsia" w:eastAsia="仿宋_GB2312"/>
          <w:sz w:val="32"/>
          <w:szCs w:val="32"/>
          <w:lang w:val="en-US" w:eastAsia="zh-CN"/>
        </w:rPr>
        <w:t>巴彦淖尔市住房和城乡建设局所属全额拨款的公益一类事业单位。主要负责全市房地产市场监测分析，房屋交易监管、物业服务技术指导等</w:t>
      </w:r>
      <w:r>
        <w:rPr>
          <w:rFonts w:hint="eastAsia" w:eastAsia="仿宋_GB2312"/>
          <w:sz w:val="32"/>
          <w:szCs w:val="32"/>
        </w:rPr>
        <w:t>。</w:t>
      </w:r>
    </w:p>
    <w:p>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outlineLvl w:val="2"/>
        <w:rPr>
          <w:rFonts w:hint="eastAsia" w:ascii="楷体_GB2312" w:eastAsia="楷体_GB2312"/>
          <w:b/>
          <w:bCs/>
          <w:sz w:val="32"/>
          <w:szCs w:val="32"/>
        </w:rPr>
      </w:pPr>
      <w:r>
        <w:rPr>
          <w:rFonts w:hint="eastAsia" w:ascii="楷体_GB2312" w:eastAsia="楷体_GB2312"/>
          <w:b/>
          <w:bCs/>
          <w:sz w:val="32"/>
          <w:szCs w:val="32"/>
        </w:rPr>
        <w:t>（二）</w:t>
      </w:r>
      <w:r>
        <w:rPr>
          <w:rFonts w:hint="eastAsia" w:ascii="楷体_GB2312" w:eastAsia="楷体_GB2312"/>
          <w:b/>
          <w:bCs/>
          <w:sz w:val="32"/>
          <w:szCs w:val="32"/>
          <w:lang w:val="en-US" w:eastAsia="zh-CN"/>
        </w:rPr>
        <w:t>单位</w:t>
      </w:r>
      <w:r>
        <w:rPr>
          <w:rFonts w:hint="eastAsia" w:ascii="楷体_GB2312" w:eastAsia="楷体_GB2312"/>
          <w:b/>
          <w:bCs/>
          <w:sz w:val="32"/>
          <w:szCs w:val="32"/>
        </w:rPr>
        <w:t>主要职责</w:t>
      </w:r>
    </w:p>
    <w:p>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eastAsia" w:ascii="黑体" w:hAnsi="黑体" w:eastAsia="黑体"/>
          <w:sz w:val="32"/>
          <w:szCs w:val="32"/>
        </w:rPr>
      </w:pPr>
      <w:r>
        <w:rPr>
          <w:rFonts w:hint="eastAsia" w:ascii="仿宋_GB2312" w:eastAsia="仿宋_GB2312"/>
          <w:sz w:val="32"/>
          <w:szCs w:val="32"/>
        </w:rPr>
        <w:t>1、</w:t>
      </w:r>
      <w:r>
        <w:rPr>
          <w:rFonts w:hint="eastAsia" w:eastAsia="仿宋_GB2312"/>
          <w:sz w:val="32"/>
          <w:szCs w:val="32"/>
        </w:rPr>
        <w:t>承担全市房地产市场监测和调控分析并提出调控政策建议</w:t>
      </w:r>
      <w:r>
        <w:rPr>
          <w:rFonts w:eastAsia="仿宋_GB2312"/>
          <w:sz w:val="32"/>
          <w:szCs w:val="32"/>
        </w:rPr>
        <w:t>。</w:t>
      </w:r>
    </w:p>
    <w:p>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eastAsia" w:eastAsia="仿宋_GB2312"/>
          <w:sz w:val="32"/>
          <w:szCs w:val="32"/>
        </w:rPr>
      </w:pPr>
      <w:r>
        <w:rPr>
          <w:rFonts w:hint="eastAsia" w:ascii="仿宋_GB2312" w:eastAsia="仿宋_GB2312"/>
          <w:sz w:val="32"/>
          <w:szCs w:val="32"/>
        </w:rPr>
        <w:t>2、</w:t>
      </w:r>
      <w:r>
        <w:rPr>
          <w:rFonts w:hint="eastAsia" w:eastAsia="仿宋_GB2312"/>
          <w:sz w:val="32"/>
          <w:szCs w:val="32"/>
        </w:rPr>
        <w:t xml:space="preserve">承担临河地区房屋交易合同备案，商品房预售许可、房屋交易资金监管的辅助性工作。 </w:t>
      </w:r>
    </w:p>
    <w:p>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eastAsia" w:ascii="仿宋_GB2312" w:hAnsi="黑体" w:eastAsia="仿宋_GB2312"/>
          <w:sz w:val="32"/>
          <w:szCs w:val="32"/>
          <w:lang w:eastAsia="zh-CN"/>
        </w:rPr>
      </w:pPr>
      <w:r>
        <w:rPr>
          <w:rFonts w:hint="eastAsia" w:ascii="仿宋_GB2312" w:hAnsi="黑体" w:eastAsia="仿宋_GB2312"/>
          <w:sz w:val="32"/>
          <w:szCs w:val="32"/>
        </w:rPr>
        <w:t>3、</w:t>
      </w:r>
      <w:r>
        <w:rPr>
          <w:rFonts w:hint="eastAsia" w:eastAsia="仿宋_GB2312"/>
          <w:sz w:val="32"/>
          <w:szCs w:val="32"/>
        </w:rPr>
        <w:t>承担临河地区房屋面积测绘成果备案工作</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eastAsia" w:eastAsia="仿宋_GB2312"/>
          <w:sz w:val="32"/>
          <w:szCs w:val="32"/>
          <w:lang w:eastAsia="zh-CN"/>
        </w:rPr>
      </w:pPr>
      <w:r>
        <w:rPr>
          <w:rFonts w:hint="eastAsia" w:ascii="仿宋_GB2312" w:hAnsi="黑体" w:eastAsia="仿宋_GB2312"/>
          <w:sz w:val="32"/>
          <w:szCs w:val="32"/>
        </w:rPr>
        <w:t>4、</w:t>
      </w:r>
      <w:r>
        <w:rPr>
          <w:rFonts w:hint="eastAsia" w:eastAsia="仿宋_GB2312"/>
          <w:sz w:val="32"/>
          <w:szCs w:val="32"/>
        </w:rPr>
        <w:t>承担建立新建商品房、存量房楼盘表建立以及房屋交易价格信息发布等工作</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eastAsia" w:eastAsia="仿宋_GB2312"/>
          <w:sz w:val="32"/>
          <w:szCs w:val="32"/>
          <w:lang w:eastAsia="zh-CN"/>
        </w:rPr>
      </w:pPr>
      <w:r>
        <w:rPr>
          <w:rFonts w:hint="eastAsia" w:eastAsia="仿宋_GB2312"/>
          <w:sz w:val="32"/>
          <w:szCs w:val="32"/>
          <w:lang w:val="en-US" w:eastAsia="zh-CN"/>
        </w:rPr>
        <w:t>5、</w:t>
      </w:r>
      <w:r>
        <w:rPr>
          <w:rFonts w:hint="eastAsia" w:eastAsia="仿宋_GB2312"/>
          <w:sz w:val="32"/>
          <w:szCs w:val="32"/>
        </w:rPr>
        <w:t>协助主管部门开展全市物业服务的业务指导工作</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600" w:lineRule="exact"/>
        <w:ind w:left="319" w:leftChars="152" w:firstLine="320" w:firstLineChars="100"/>
        <w:textAlignment w:val="auto"/>
        <w:rPr>
          <w:rFonts w:hint="eastAsia" w:eastAsia="仿宋_GB2312"/>
          <w:sz w:val="32"/>
          <w:szCs w:val="32"/>
        </w:rPr>
      </w:pPr>
      <w:r>
        <w:rPr>
          <w:rFonts w:hint="eastAsia" w:eastAsia="仿宋_GB2312"/>
          <w:sz w:val="32"/>
          <w:szCs w:val="32"/>
          <w:lang w:val="en-US" w:eastAsia="zh-CN"/>
        </w:rPr>
        <w:t>6、</w:t>
      </w:r>
      <w:r>
        <w:rPr>
          <w:rFonts w:hint="eastAsia" w:eastAsia="仿宋_GB2312"/>
          <w:sz w:val="32"/>
          <w:szCs w:val="32"/>
        </w:rPr>
        <w:t>完成市住房和城乡建设局交办的其他工作任务。</w:t>
      </w:r>
    </w:p>
    <w:p>
      <w:pPr>
        <w:numPr>
          <w:ilvl w:val="0"/>
          <w:numId w:val="1"/>
        </w:numPr>
        <w:spacing w:line="600" w:lineRule="exact"/>
        <w:ind w:left="17" w:leftChars="8" w:firstLine="624" w:firstLineChars="195"/>
        <w:outlineLvl w:val="2"/>
        <w:rPr>
          <w:rFonts w:eastAsia="黑体" w:cs="黑体"/>
          <w:sz w:val="32"/>
          <w:szCs w:val="36"/>
        </w:rPr>
      </w:pPr>
      <w:r>
        <w:rPr>
          <w:rFonts w:hint="eastAsia" w:eastAsia="黑体" w:cs="黑体"/>
          <w:sz w:val="32"/>
          <w:szCs w:val="36"/>
        </w:rPr>
        <w:t>单位机构设置及预算单位构成情况</w:t>
      </w:r>
    </w:p>
    <w:p>
      <w:pPr>
        <w:keepNext w:val="0"/>
        <w:keepLines w:val="0"/>
        <w:pageBreakBefore w:val="0"/>
        <w:widowControl w:val="0"/>
        <w:numPr>
          <w:numId w:val="0"/>
        </w:numPr>
        <w:kinsoku/>
        <w:wordWrap/>
        <w:overflowPunct/>
        <w:topLinePunct w:val="0"/>
        <w:autoSpaceDE w:val="0"/>
        <w:autoSpaceDN w:val="0"/>
        <w:bidi w:val="0"/>
        <w:adjustRightInd w:val="0"/>
        <w:snapToGrid/>
        <w:spacing w:beforeLines="0" w:afterLines="0" w:line="600" w:lineRule="exact"/>
        <w:ind w:firstLine="640" w:firstLineChars="200"/>
        <w:jc w:val="left"/>
        <w:textAlignment w:val="auto"/>
        <w:rPr>
          <w:rFonts w:hint="eastAsia" w:eastAsia="仿宋_GB2312" w:cstheme="minorBidi"/>
          <w:sz w:val="32"/>
          <w:szCs w:val="32"/>
          <w:highlight w:val="none"/>
        </w:rPr>
      </w:pPr>
      <w:r>
        <w:rPr>
          <w:rFonts w:hint="eastAsia" w:ascii="仿宋_GB2312" w:eastAsia="仿宋_GB2312"/>
          <w:color w:val="auto"/>
          <w:sz w:val="32"/>
          <w:lang w:val="en-US" w:eastAsia="zh-CN"/>
        </w:rPr>
        <w:t>1、</w:t>
      </w:r>
      <w:r>
        <w:rPr>
          <w:rFonts w:hint="eastAsia" w:ascii="仿宋_GB2312" w:hAnsi="Times New Roman" w:eastAsia="仿宋_GB2312"/>
          <w:color w:val="auto"/>
          <w:sz w:val="32"/>
          <w:lang w:val="en-US" w:eastAsia="zh-CN"/>
        </w:rPr>
        <w:t>本单位是独立编制单位预决算的全额拨款事业单位，是巴彦淖尔市住房和城乡建设局的二级单位，设置了综合科、房产档案科、房产交易资金服务科、房产测绘科、物业服务科、房产信息科、房地产市场服务科七个科室。</w:t>
      </w:r>
      <w:r>
        <w:rPr>
          <w:rFonts w:hint="eastAsia" w:eastAsia="仿宋_GB2312" w:cstheme="minorBidi"/>
          <w:sz w:val="32"/>
          <w:szCs w:val="32"/>
          <w:highlight w:val="none"/>
        </w:rPr>
        <w:t>本单位</w:t>
      </w:r>
      <w:r>
        <w:rPr>
          <w:rFonts w:hint="eastAsia" w:eastAsia="仿宋_GB2312" w:cstheme="minorBidi"/>
          <w:sz w:val="32"/>
          <w:szCs w:val="32"/>
          <w:highlight w:val="none"/>
          <w:lang w:eastAsia="zh-CN"/>
        </w:rPr>
        <w:t>无</w:t>
      </w:r>
      <w:r>
        <w:rPr>
          <w:rFonts w:hint="eastAsia" w:eastAsia="仿宋_GB2312" w:cstheme="minorBidi"/>
          <w:sz w:val="32"/>
          <w:szCs w:val="32"/>
          <w:highlight w:val="none"/>
        </w:rPr>
        <w:t>下属</w:t>
      </w:r>
      <w:r>
        <w:rPr>
          <w:rFonts w:hint="eastAsia" w:eastAsia="仿宋_GB2312" w:cstheme="minorBidi"/>
          <w:sz w:val="32"/>
          <w:szCs w:val="32"/>
          <w:highlight w:val="none"/>
          <w:lang w:eastAsia="zh-CN"/>
        </w:rPr>
        <w:t>单位</w:t>
      </w:r>
      <w:r>
        <w:rPr>
          <w:rFonts w:hint="eastAsia" w:eastAsia="仿宋_GB2312" w:cstheme="minorBidi"/>
          <w:sz w:val="32"/>
          <w:szCs w:val="32"/>
          <w:highlight w:val="none"/>
        </w:rPr>
        <w:t>。</w:t>
      </w:r>
    </w:p>
    <w:p>
      <w:pPr>
        <w:snapToGrid w:val="0"/>
        <w:spacing w:line="560" w:lineRule="exact"/>
        <w:ind w:firstLine="3534" w:firstLineChars="1100"/>
        <w:jc w:val="both"/>
        <w:rPr>
          <w:rFonts w:hint="eastAsia" w:eastAsia="仿宋_GB2312"/>
          <w:b/>
          <w:sz w:val="32"/>
          <w:szCs w:val="32"/>
        </w:rPr>
      </w:pPr>
      <w:r>
        <w:rPr>
          <w:rFonts w:hint="eastAsia" w:eastAsia="仿宋_GB2312"/>
          <w:b/>
          <w:sz w:val="32"/>
          <w:szCs w:val="32"/>
          <w:lang w:val="en-US" w:eastAsia="zh-CN"/>
        </w:rPr>
        <w:t>科室</w:t>
      </w:r>
      <w:r>
        <w:rPr>
          <w:rFonts w:hint="eastAsia" w:eastAsia="仿宋_GB2312"/>
          <w:b/>
          <w:sz w:val="32"/>
          <w:szCs w:val="32"/>
        </w:rPr>
        <w:t>情况表</w:t>
      </w:r>
    </w:p>
    <w:p>
      <w:pPr>
        <w:adjustRightInd w:val="0"/>
        <w:snapToGrid w:val="0"/>
        <w:spacing w:line="560" w:lineRule="exact"/>
        <w:ind w:firstLine="640" w:firstLineChars="200"/>
        <w:rPr>
          <w:rFonts w:hint="eastAsia" w:ascii="仿宋_GB2312" w:hAnsi="黑体" w:eastAsia="仿宋_GB2312"/>
          <w:color w:val="000000"/>
          <w:szCs w:val="21"/>
        </w:rPr>
      </w:pPr>
      <w:r>
        <w:rPr>
          <w:rFonts w:hint="eastAsia" w:ascii="黑体" w:hAnsi="黑体" w:eastAsia="黑体"/>
          <w:color w:val="000000"/>
          <w:sz w:val="32"/>
          <w:szCs w:val="32"/>
        </w:rPr>
        <w:t xml:space="preserve">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3780"/>
        <w:gridCol w:w="3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3" w:type="dxa"/>
            <w:tcBorders>
              <w:tl2br w:val="nil"/>
              <w:tr2bl w:val="nil"/>
            </w:tcBorders>
            <w:noWrap w:val="0"/>
            <w:vAlign w:val="center"/>
          </w:tcPr>
          <w:p>
            <w:pPr>
              <w:widowControl/>
              <w:jc w:val="center"/>
              <w:rPr>
                <w:rFonts w:hint="eastAsia" w:ascii="仿宋" w:hAnsi="仿宋" w:eastAsia="仿宋" w:cs="仿宋"/>
                <w:color w:val="000000"/>
                <w:kern w:val="0"/>
                <w:sz w:val="30"/>
                <w:szCs w:val="30"/>
              </w:rPr>
            </w:pPr>
            <w:r>
              <w:rPr>
                <w:rFonts w:hint="eastAsia" w:ascii="仿宋" w:hAnsi="仿宋" w:eastAsia="仿宋" w:cs="仿宋"/>
                <w:bCs/>
                <w:color w:val="000000"/>
                <w:kern w:val="0"/>
                <w:sz w:val="30"/>
                <w:szCs w:val="30"/>
              </w:rPr>
              <w:t>序号</w:t>
            </w:r>
          </w:p>
        </w:tc>
        <w:tc>
          <w:tcPr>
            <w:tcW w:w="3780" w:type="dxa"/>
            <w:tcBorders>
              <w:tl2br w:val="nil"/>
              <w:tr2bl w:val="nil"/>
            </w:tcBorders>
            <w:noWrap w:val="0"/>
            <w:vAlign w:val="center"/>
          </w:tcPr>
          <w:p>
            <w:pPr>
              <w:widowControl/>
              <w:jc w:val="center"/>
              <w:rPr>
                <w:rFonts w:hint="eastAsia" w:ascii="仿宋" w:hAnsi="仿宋" w:eastAsia="仿宋" w:cs="仿宋"/>
                <w:bCs/>
                <w:color w:val="000000"/>
                <w:kern w:val="0"/>
                <w:sz w:val="30"/>
                <w:szCs w:val="30"/>
              </w:rPr>
            </w:pPr>
            <w:r>
              <w:rPr>
                <w:rFonts w:hint="eastAsia" w:ascii="仿宋" w:hAnsi="仿宋" w:eastAsia="仿宋" w:cs="仿宋"/>
                <w:bCs/>
                <w:color w:val="000000"/>
                <w:kern w:val="0"/>
                <w:sz w:val="30"/>
                <w:szCs w:val="30"/>
                <w:lang w:val="en-US" w:eastAsia="zh-CN"/>
              </w:rPr>
              <w:t>科室</w:t>
            </w:r>
            <w:r>
              <w:rPr>
                <w:rFonts w:hint="eastAsia" w:ascii="仿宋" w:hAnsi="仿宋" w:eastAsia="仿宋" w:cs="仿宋"/>
                <w:bCs/>
                <w:color w:val="000000"/>
                <w:kern w:val="0"/>
                <w:sz w:val="30"/>
                <w:szCs w:val="30"/>
              </w:rPr>
              <w:t>名称</w:t>
            </w:r>
          </w:p>
        </w:tc>
        <w:tc>
          <w:tcPr>
            <w:tcW w:w="3326" w:type="dxa"/>
            <w:tcBorders>
              <w:tl2br w:val="nil"/>
              <w:tr2bl w:val="nil"/>
            </w:tcBorders>
            <w:noWrap/>
            <w:vAlign w:val="center"/>
          </w:tcPr>
          <w:p>
            <w:pPr>
              <w:widowControl/>
              <w:jc w:val="center"/>
              <w:rPr>
                <w:rFonts w:hint="eastAsia" w:ascii="仿宋" w:hAnsi="仿宋" w:eastAsia="仿宋" w:cs="仿宋"/>
                <w:color w:val="000000"/>
                <w:kern w:val="0"/>
                <w:sz w:val="30"/>
                <w:szCs w:val="30"/>
                <w:lang w:val="en-US" w:eastAsia="zh-CN"/>
              </w:rPr>
            </w:pPr>
            <w:r>
              <w:rPr>
                <w:rFonts w:hint="eastAsia" w:ascii="仿宋" w:hAnsi="仿宋" w:eastAsia="仿宋" w:cs="仿宋"/>
                <w:color w:val="000000"/>
                <w:kern w:val="0"/>
                <w:sz w:val="30"/>
                <w:szCs w:val="30"/>
                <w:lang w:val="en-US" w:eastAsia="zh-CN"/>
              </w:rPr>
              <w:t>科室职能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203" w:type="dxa"/>
            <w:tcBorders>
              <w:tl2br w:val="nil"/>
              <w:tr2bl w:val="nil"/>
            </w:tcBorders>
            <w:noWrap w:val="0"/>
            <w:vAlign w:val="center"/>
          </w:tcPr>
          <w:p>
            <w:pPr>
              <w:widowControl/>
              <w:jc w:val="center"/>
              <w:rPr>
                <w:rFonts w:hint="eastAsia" w:ascii="仿宋" w:hAnsi="仿宋" w:eastAsia="仿宋" w:cs="仿宋"/>
                <w:color w:val="000000"/>
                <w:kern w:val="0"/>
                <w:sz w:val="30"/>
                <w:szCs w:val="30"/>
                <w:lang w:val="en-US" w:eastAsia="zh-CN"/>
              </w:rPr>
            </w:pPr>
            <w:r>
              <w:rPr>
                <w:rFonts w:hint="eastAsia" w:ascii="仿宋" w:hAnsi="仿宋" w:eastAsia="仿宋" w:cs="仿宋"/>
                <w:color w:val="000000"/>
                <w:kern w:val="0"/>
                <w:sz w:val="30"/>
                <w:szCs w:val="30"/>
                <w:lang w:val="en-US" w:eastAsia="zh-CN"/>
              </w:rPr>
              <w:t>1</w:t>
            </w:r>
          </w:p>
        </w:tc>
        <w:tc>
          <w:tcPr>
            <w:tcW w:w="3780" w:type="dxa"/>
            <w:tcBorders>
              <w:tl2br w:val="nil"/>
              <w:tr2bl w:val="nil"/>
            </w:tcBorders>
            <w:noWrap w:val="0"/>
            <w:vAlign w:val="center"/>
          </w:tcPr>
          <w:p>
            <w:pPr>
              <w:widowControl/>
              <w:numPr>
                <w:ilvl w:val="0"/>
                <w:numId w:val="0"/>
              </w:numPr>
              <w:spacing w:line="360" w:lineRule="auto"/>
              <w:ind w:firstLine="1200" w:firstLineChars="400"/>
              <w:jc w:val="both"/>
              <w:rPr>
                <w:rFonts w:hint="eastAsia" w:ascii="仿宋" w:hAnsi="仿宋" w:eastAsia="仿宋" w:cs="仿宋"/>
                <w:bCs/>
                <w:color w:val="000000"/>
                <w:kern w:val="0"/>
                <w:sz w:val="30"/>
                <w:szCs w:val="30"/>
              </w:rPr>
            </w:pPr>
            <w:r>
              <w:rPr>
                <w:rFonts w:hint="eastAsia" w:ascii="仿宋" w:hAnsi="仿宋" w:eastAsia="仿宋" w:cs="仿宋"/>
                <w:color w:val="auto"/>
                <w:kern w:val="0"/>
                <w:sz w:val="30"/>
                <w:szCs w:val="30"/>
                <w:lang w:eastAsia="zh-CN"/>
              </w:rPr>
              <w:t>综合科</w:t>
            </w:r>
          </w:p>
        </w:tc>
        <w:tc>
          <w:tcPr>
            <w:tcW w:w="3326" w:type="dxa"/>
            <w:tcBorders>
              <w:tl2br w:val="nil"/>
              <w:tr2bl w:val="nil"/>
            </w:tcBorders>
            <w:noWrap/>
            <w:vAlign w:val="center"/>
          </w:tcPr>
          <w:p>
            <w:pPr>
              <w:widowControl/>
              <w:numPr>
                <w:ilvl w:val="0"/>
                <w:numId w:val="0"/>
              </w:numPr>
              <w:spacing w:line="360" w:lineRule="auto"/>
              <w:ind w:left="0" w:leftChars="0" w:firstLine="0" w:firstLineChars="0"/>
              <w:jc w:val="both"/>
              <w:rPr>
                <w:rFonts w:hint="eastAsia" w:ascii="仿宋" w:hAnsi="仿宋" w:eastAsia="仿宋" w:cs="仿宋"/>
                <w:color w:val="000000"/>
                <w:kern w:val="0"/>
                <w:sz w:val="30"/>
                <w:szCs w:val="30"/>
              </w:rPr>
            </w:pPr>
            <w:r>
              <w:rPr>
                <w:rFonts w:hint="eastAsia" w:ascii="仿宋" w:hAnsi="仿宋" w:eastAsia="仿宋" w:cs="仿宋"/>
                <w:color w:val="auto"/>
                <w:kern w:val="0"/>
                <w:sz w:val="30"/>
                <w:szCs w:val="30"/>
                <w:lang w:eastAsia="zh-CN"/>
              </w:rPr>
              <w:t>协助领导处理日常工作，负责政务、人事、党建、财务管理工作</w:t>
            </w:r>
            <w:r>
              <w:rPr>
                <w:rFonts w:hint="eastAsia" w:ascii="仿宋" w:hAnsi="仿宋" w:eastAsia="仿宋" w:cs="仿宋"/>
                <w:color w:val="auto"/>
                <w:kern w:val="0"/>
                <w:sz w:val="30"/>
                <w:szCs w:val="30"/>
                <w:lang w:val="en-US" w:eastAsia="zh-CN"/>
              </w:rPr>
              <w:t>等</w:t>
            </w:r>
            <w:r>
              <w:rPr>
                <w:rFonts w:hint="eastAsia" w:ascii="仿宋" w:hAnsi="仿宋" w:eastAsia="仿宋" w:cs="仿宋"/>
                <w:color w:val="auto"/>
                <w:kern w:val="0"/>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203" w:type="dxa"/>
            <w:tcBorders>
              <w:tl2br w:val="nil"/>
              <w:tr2bl w:val="nil"/>
            </w:tcBorders>
            <w:noWrap w:val="0"/>
            <w:vAlign w:val="center"/>
          </w:tcPr>
          <w:p>
            <w:pPr>
              <w:widowControl/>
              <w:jc w:val="center"/>
              <w:rPr>
                <w:rFonts w:hint="eastAsia" w:ascii="仿宋" w:hAnsi="仿宋" w:eastAsia="仿宋" w:cs="仿宋"/>
                <w:color w:val="000000"/>
                <w:kern w:val="0"/>
                <w:sz w:val="30"/>
                <w:szCs w:val="30"/>
                <w:lang w:eastAsia="zh-CN"/>
              </w:rPr>
            </w:pPr>
            <w:r>
              <w:rPr>
                <w:rFonts w:hint="eastAsia" w:ascii="仿宋" w:hAnsi="仿宋" w:eastAsia="仿宋" w:cs="仿宋"/>
                <w:color w:val="000000"/>
                <w:kern w:val="0"/>
                <w:sz w:val="30"/>
                <w:szCs w:val="30"/>
                <w:lang w:val="en-US" w:eastAsia="zh-CN"/>
              </w:rPr>
              <w:t>2</w:t>
            </w:r>
          </w:p>
        </w:tc>
        <w:tc>
          <w:tcPr>
            <w:tcW w:w="3780" w:type="dxa"/>
            <w:tcBorders>
              <w:tl2br w:val="nil"/>
              <w:tr2bl w:val="nil"/>
            </w:tcBorders>
            <w:noWrap w:val="0"/>
            <w:vAlign w:val="center"/>
          </w:tcPr>
          <w:p>
            <w:pPr>
              <w:widowControl/>
              <w:numPr>
                <w:ilvl w:val="0"/>
                <w:numId w:val="0"/>
              </w:numPr>
              <w:tabs>
                <w:tab w:val="left" w:pos="1592"/>
              </w:tabs>
              <w:spacing w:line="360" w:lineRule="auto"/>
              <w:ind w:left="0" w:leftChars="0" w:firstLine="0" w:firstLineChars="0"/>
              <w:jc w:val="center"/>
              <w:rPr>
                <w:rFonts w:hint="eastAsia" w:ascii="仿宋" w:hAnsi="仿宋" w:eastAsia="仿宋" w:cs="仿宋"/>
                <w:color w:val="000000"/>
                <w:kern w:val="0"/>
                <w:sz w:val="30"/>
                <w:szCs w:val="30"/>
              </w:rPr>
            </w:pPr>
            <w:r>
              <w:rPr>
                <w:rFonts w:hint="eastAsia" w:ascii="仿宋" w:hAnsi="仿宋" w:eastAsia="仿宋" w:cs="仿宋"/>
                <w:color w:val="auto"/>
                <w:kern w:val="0"/>
                <w:sz w:val="30"/>
                <w:szCs w:val="30"/>
                <w:lang w:eastAsia="zh-CN"/>
              </w:rPr>
              <w:t>房产档案科</w:t>
            </w:r>
          </w:p>
        </w:tc>
        <w:tc>
          <w:tcPr>
            <w:tcW w:w="3326" w:type="dxa"/>
            <w:tcBorders>
              <w:tl2br w:val="nil"/>
              <w:tr2bl w:val="nil"/>
            </w:tcBorders>
            <w:noWrap/>
            <w:vAlign w:val="center"/>
          </w:tcPr>
          <w:p>
            <w:pPr>
              <w:widowControl/>
              <w:numPr>
                <w:ilvl w:val="0"/>
                <w:numId w:val="0"/>
              </w:numPr>
              <w:spacing w:line="360" w:lineRule="auto"/>
              <w:ind w:left="0" w:leftChars="0" w:firstLine="0" w:firstLineChars="0"/>
              <w:jc w:val="both"/>
              <w:rPr>
                <w:rFonts w:hint="eastAsia" w:ascii="仿宋" w:hAnsi="仿宋" w:eastAsia="仿宋" w:cs="仿宋"/>
                <w:color w:val="000000"/>
                <w:kern w:val="0"/>
                <w:sz w:val="30"/>
                <w:szCs w:val="30"/>
              </w:rPr>
            </w:pPr>
            <w:r>
              <w:rPr>
                <w:rFonts w:hint="eastAsia" w:ascii="仿宋" w:hAnsi="仿宋" w:eastAsia="仿宋" w:cs="仿宋"/>
                <w:color w:val="auto"/>
                <w:kern w:val="0"/>
                <w:sz w:val="30"/>
                <w:szCs w:val="30"/>
                <w:lang w:eastAsia="zh-CN"/>
              </w:rPr>
              <w:t>负责临河地区各类房屋交易资料的管理工作。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3" w:type="dxa"/>
            <w:tcBorders>
              <w:tl2br w:val="nil"/>
              <w:tr2bl w:val="nil"/>
            </w:tcBorders>
            <w:noWrap w:val="0"/>
            <w:vAlign w:val="center"/>
          </w:tcPr>
          <w:p>
            <w:pPr>
              <w:widowControl/>
              <w:jc w:val="center"/>
              <w:rPr>
                <w:rFonts w:hint="eastAsia" w:ascii="仿宋" w:hAnsi="仿宋" w:eastAsia="仿宋" w:cs="仿宋"/>
                <w:color w:val="000000"/>
                <w:kern w:val="0"/>
                <w:sz w:val="30"/>
                <w:szCs w:val="30"/>
                <w:lang w:eastAsia="zh-CN"/>
              </w:rPr>
            </w:pPr>
            <w:r>
              <w:rPr>
                <w:rFonts w:hint="eastAsia" w:ascii="仿宋" w:hAnsi="仿宋" w:eastAsia="仿宋" w:cs="仿宋"/>
                <w:color w:val="000000"/>
                <w:kern w:val="0"/>
                <w:sz w:val="30"/>
                <w:szCs w:val="30"/>
                <w:lang w:val="en-US" w:eastAsia="zh-CN"/>
              </w:rPr>
              <w:t>3</w:t>
            </w:r>
          </w:p>
        </w:tc>
        <w:tc>
          <w:tcPr>
            <w:tcW w:w="3780" w:type="dxa"/>
            <w:tcBorders>
              <w:tl2br w:val="nil"/>
              <w:tr2bl w:val="nil"/>
            </w:tcBorders>
            <w:noWrap w:val="0"/>
            <w:vAlign w:val="center"/>
          </w:tcPr>
          <w:p>
            <w:pPr>
              <w:widowControl/>
              <w:numPr>
                <w:ilvl w:val="0"/>
                <w:numId w:val="0"/>
              </w:numPr>
              <w:spacing w:line="360" w:lineRule="auto"/>
              <w:ind w:left="0" w:leftChars="0" w:firstLine="0" w:firstLineChars="0"/>
              <w:jc w:val="center"/>
              <w:rPr>
                <w:rFonts w:hint="eastAsia" w:ascii="仿宋" w:hAnsi="仿宋" w:eastAsia="仿宋" w:cs="仿宋"/>
                <w:color w:val="000000"/>
                <w:kern w:val="0"/>
                <w:sz w:val="30"/>
                <w:szCs w:val="30"/>
              </w:rPr>
            </w:pPr>
            <w:r>
              <w:rPr>
                <w:rFonts w:hint="eastAsia" w:ascii="仿宋" w:hAnsi="仿宋" w:eastAsia="仿宋" w:cs="仿宋"/>
                <w:color w:val="auto"/>
                <w:kern w:val="0"/>
                <w:sz w:val="30"/>
                <w:szCs w:val="30"/>
                <w:lang w:eastAsia="zh-CN"/>
              </w:rPr>
              <w:t>房产交易</w:t>
            </w:r>
            <w:r>
              <w:rPr>
                <w:rFonts w:hint="eastAsia" w:ascii="仿宋" w:hAnsi="仿宋" w:eastAsia="仿宋" w:cs="仿宋"/>
                <w:color w:val="auto"/>
                <w:kern w:val="0"/>
                <w:sz w:val="30"/>
                <w:szCs w:val="30"/>
                <w:lang w:val="en-US" w:eastAsia="zh-CN"/>
              </w:rPr>
              <w:t>资金服务</w:t>
            </w:r>
            <w:r>
              <w:rPr>
                <w:rFonts w:hint="eastAsia" w:ascii="仿宋" w:hAnsi="仿宋" w:eastAsia="仿宋" w:cs="仿宋"/>
                <w:color w:val="auto"/>
                <w:kern w:val="0"/>
                <w:sz w:val="30"/>
                <w:szCs w:val="30"/>
                <w:lang w:eastAsia="zh-CN"/>
              </w:rPr>
              <w:t>科</w:t>
            </w:r>
          </w:p>
        </w:tc>
        <w:tc>
          <w:tcPr>
            <w:tcW w:w="3326" w:type="dxa"/>
            <w:tcBorders>
              <w:tl2br w:val="nil"/>
              <w:tr2bl w:val="nil"/>
            </w:tcBorders>
            <w:noWrap/>
            <w:vAlign w:val="center"/>
          </w:tcPr>
          <w:p>
            <w:pPr>
              <w:snapToGrid w:val="0"/>
              <w:spacing w:line="560" w:lineRule="exact"/>
              <w:rPr>
                <w:rFonts w:hint="eastAsia" w:ascii="仿宋" w:hAnsi="仿宋" w:eastAsia="仿宋" w:cs="仿宋"/>
                <w:color w:val="000000"/>
                <w:kern w:val="0"/>
                <w:sz w:val="30"/>
                <w:szCs w:val="30"/>
                <w:lang w:val="en-US" w:eastAsia="zh-CN"/>
              </w:rPr>
            </w:pPr>
            <w:r>
              <w:rPr>
                <w:rFonts w:hint="eastAsia" w:ascii="仿宋" w:hAnsi="仿宋" w:eastAsia="仿宋" w:cs="仿宋"/>
                <w:sz w:val="30"/>
                <w:szCs w:val="30"/>
                <w:lang w:val="en-US" w:eastAsia="zh-CN"/>
              </w:rPr>
              <w:t>协助开展临河地区</w:t>
            </w:r>
            <w:r>
              <w:rPr>
                <w:rFonts w:hint="eastAsia" w:ascii="仿宋" w:hAnsi="仿宋" w:eastAsia="仿宋" w:cs="仿宋"/>
                <w:sz w:val="30"/>
                <w:szCs w:val="30"/>
              </w:rPr>
              <w:t>新建商品房、存量房</w:t>
            </w:r>
            <w:r>
              <w:rPr>
                <w:rFonts w:hint="eastAsia" w:ascii="仿宋" w:hAnsi="仿宋" w:eastAsia="仿宋" w:cs="仿宋"/>
                <w:sz w:val="30"/>
                <w:szCs w:val="30"/>
                <w:lang w:val="en-US" w:eastAsia="zh-CN"/>
              </w:rPr>
              <w:t>交易资金的监管工作等。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203" w:type="dxa"/>
            <w:tcBorders>
              <w:tl2br w:val="nil"/>
              <w:tr2bl w:val="nil"/>
            </w:tcBorders>
            <w:noWrap w:val="0"/>
            <w:vAlign w:val="center"/>
          </w:tcPr>
          <w:p>
            <w:pPr>
              <w:widowControl/>
              <w:jc w:val="center"/>
              <w:rPr>
                <w:rFonts w:hint="eastAsia" w:ascii="仿宋" w:hAnsi="仿宋" w:eastAsia="仿宋" w:cs="仿宋"/>
                <w:color w:val="000000"/>
                <w:kern w:val="0"/>
                <w:sz w:val="30"/>
                <w:szCs w:val="30"/>
                <w:lang w:eastAsia="zh-CN"/>
              </w:rPr>
            </w:pPr>
            <w:r>
              <w:rPr>
                <w:rFonts w:hint="eastAsia" w:ascii="仿宋" w:hAnsi="仿宋" w:eastAsia="仿宋" w:cs="仿宋"/>
                <w:color w:val="000000"/>
                <w:kern w:val="0"/>
                <w:sz w:val="30"/>
                <w:szCs w:val="30"/>
                <w:lang w:val="en-US" w:eastAsia="zh-CN"/>
              </w:rPr>
              <w:t>4</w:t>
            </w:r>
          </w:p>
        </w:tc>
        <w:tc>
          <w:tcPr>
            <w:tcW w:w="3780" w:type="dxa"/>
            <w:tcBorders>
              <w:tl2br w:val="nil"/>
              <w:tr2bl w:val="nil"/>
            </w:tcBorders>
            <w:noWrap w:val="0"/>
            <w:vAlign w:val="center"/>
          </w:tcPr>
          <w:p>
            <w:pPr>
              <w:widowControl/>
              <w:numPr>
                <w:ilvl w:val="0"/>
                <w:numId w:val="0"/>
              </w:numPr>
              <w:spacing w:line="360" w:lineRule="auto"/>
              <w:ind w:left="0" w:leftChars="0" w:firstLine="0" w:firstLineChars="0"/>
              <w:jc w:val="center"/>
              <w:rPr>
                <w:rFonts w:hint="eastAsia" w:ascii="仿宋" w:hAnsi="仿宋" w:eastAsia="仿宋" w:cs="仿宋"/>
                <w:color w:val="000000"/>
                <w:kern w:val="0"/>
                <w:sz w:val="30"/>
                <w:szCs w:val="30"/>
              </w:rPr>
            </w:pPr>
            <w:r>
              <w:rPr>
                <w:rFonts w:hint="eastAsia" w:ascii="仿宋" w:hAnsi="仿宋" w:eastAsia="仿宋" w:cs="仿宋"/>
                <w:color w:val="auto"/>
                <w:kern w:val="0"/>
                <w:sz w:val="30"/>
                <w:szCs w:val="30"/>
                <w:lang w:eastAsia="zh-CN"/>
              </w:rPr>
              <w:t>房产测绘科</w:t>
            </w:r>
          </w:p>
        </w:tc>
        <w:tc>
          <w:tcPr>
            <w:tcW w:w="3326" w:type="dxa"/>
            <w:tcBorders>
              <w:tl2br w:val="nil"/>
              <w:tr2bl w:val="nil"/>
            </w:tcBorders>
            <w:noWrap/>
            <w:vAlign w:val="center"/>
          </w:tcPr>
          <w:p>
            <w:pPr>
              <w:widowControl/>
              <w:numPr>
                <w:ilvl w:val="0"/>
                <w:numId w:val="0"/>
              </w:numPr>
              <w:spacing w:line="360" w:lineRule="auto"/>
              <w:ind w:left="0" w:leftChars="0" w:firstLine="0" w:firstLineChars="0"/>
              <w:jc w:val="both"/>
              <w:rPr>
                <w:rFonts w:hint="eastAsia" w:ascii="仿宋" w:hAnsi="仿宋" w:eastAsia="仿宋" w:cs="仿宋"/>
                <w:color w:val="000000"/>
                <w:kern w:val="0"/>
                <w:sz w:val="30"/>
                <w:szCs w:val="30"/>
                <w:lang w:val="en-US" w:eastAsia="zh-CN"/>
              </w:rPr>
            </w:pPr>
            <w:r>
              <w:rPr>
                <w:rFonts w:hint="eastAsia" w:ascii="仿宋" w:hAnsi="仿宋" w:eastAsia="仿宋" w:cs="仿宋"/>
                <w:sz w:val="30"/>
                <w:szCs w:val="30"/>
              </w:rPr>
              <w:t>临河地区房屋面积测绘成果备案工作</w:t>
            </w:r>
            <w:r>
              <w:rPr>
                <w:rFonts w:hint="eastAsia" w:ascii="仿宋" w:hAnsi="仿宋" w:eastAsia="仿宋" w:cs="仿宋"/>
                <w:sz w:val="30"/>
                <w:szCs w:val="30"/>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1203" w:type="dxa"/>
            <w:tcBorders>
              <w:tl2br w:val="nil"/>
              <w:tr2bl w:val="nil"/>
            </w:tcBorders>
            <w:noWrap w:val="0"/>
            <w:vAlign w:val="center"/>
          </w:tcPr>
          <w:p>
            <w:pPr>
              <w:widowControl/>
              <w:jc w:val="center"/>
              <w:rPr>
                <w:rFonts w:hint="eastAsia" w:ascii="仿宋" w:hAnsi="仿宋" w:eastAsia="仿宋" w:cs="仿宋"/>
                <w:color w:val="000000"/>
                <w:kern w:val="0"/>
                <w:sz w:val="30"/>
                <w:szCs w:val="30"/>
                <w:lang w:val="en-US" w:eastAsia="zh-CN"/>
              </w:rPr>
            </w:pPr>
            <w:r>
              <w:rPr>
                <w:rFonts w:hint="eastAsia" w:ascii="仿宋" w:hAnsi="仿宋" w:eastAsia="仿宋" w:cs="仿宋"/>
                <w:color w:val="000000"/>
                <w:kern w:val="0"/>
                <w:sz w:val="30"/>
                <w:szCs w:val="30"/>
                <w:lang w:val="en-US" w:eastAsia="zh-CN"/>
              </w:rPr>
              <w:t>5</w:t>
            </w:r>
          </w:p>
        </w:tc>
        <w:tc>
          <w:tcPr>
            <w:tcW w:w="3780" w:type="dxa"/>
            <w:tcBorders>
              <w:tl2br w:val="nil"/>
              <w:tr2bl w:val="nil"/>
            </w:tcBorders>
            <w:noWrap w:val="0"/>
            <w:vAlign w:val="center"/>
          </w:tcPr>
          <w:p>
            <w:pPr>
              <w:widowControl/>
              <w:numPr>
                <w:ilvl w:val="0"/>
                <w:numId w:val="0"/>
              </w:numPr>
              <w:spacing w:line="360" w:lineRule="auto"/>
              <w:ind w:left="0" w:leftChars="0" w:firstLine="0" w:firstLineChars="0"/>
              <w:jc w:val="center"/>
              <w:rPr>
                <w:rFonts w:hint="eastAsia" w:ascii="仿宋" w:hAnsi="仿宋" w:eastAsia="仿宋" w:cs="仿宋"/>
                <w:color w:val="auto"/>
                <w:kern w:val="0"/>
                <w:sz w:val="30"/>
                <w:szCs w:val="30"/>
                <w:lang w:eastAsia="zh-CN"/>
              </w:rPr>
            </w:pPr>
            <w:r>
              <w:rPr>
                <w:rFonts w:hint="eastAsia" w:ascii="仿宋" w:hAnsi="仿宋" w:eastAsia="仿宋" w:cs="仿宋"/>
                <w:color w:val="auto"/>
                <w:sz w:val="30"/>
                <w:szCs w:val="30"/>
                <w:lang w:val="en-US" w:eastAsia="zh-CN"/>
              </w:rPr>
              <w:t>物业服务科</w:t>
            </w:r>
          </w:p>
        </w:tc>
        <w:tc>
          <w:tcPr>
            <w:tcW w:w="3326" w:type="dxa"/>
            <w:tcBorders>
              <w:tl2br w:val="nil"/>
              <w:tr2bl w:val="nil"/>
            </w:tcBorders>
            <w:noWrap/>
            <w:vAlign w:val="center"/>
          </w:tcPr>
          <w:p>
            <w:pPr>
              <w:widowControl/>
              <w:numPr>
                <w:ilvl w:val="0"/>
                <w:numId w:val="0"/>
              </w:numPr>
              <w:spacing w:line="360" w:lineRule="auto"/>
              <w:ind w:left="0" w:leftChars="0" w:firstLine="0" w:firstLineChars="0"/>
              <w:jc w:val="both"/>
              <w:rPr>
                <w:rFonts w:hint="eastAsia" w:ascii="仿宋" w:hAnsi="仿宋" w:eastAsia="仿宋" w:cs="仿宋"/>
                <w:color w:val="auto"/>
                <w:kern w:val="0"/>
                <w:sz w:val="30"/>
                <w:szCs w:val="30"/>
                <w:lang w:eastAsia="zh-CN"/>
              </w:rPr>
            </w:pPr>
            <w:r>
              <w:rPr>
                <w:rFonts w:hint="eastAsia" w:ascii="仿宋" w:hAnsi="仿宋" w:eastAsia="仿宋" w:cs="仿宋"/>
                <w:sz w:val="30"/>
                <w:szCs w:val="30"/>
              </w:rPr>
              <w:t>协助主管部门开展全市物业服务的业务指导工作</w:t>
            </w:r>
            <w:r>
              <w:rPr>
                <w:rFonts w:hint="eastAsia" w:ascii="仿宋" w:hAnsi="仿宋" w:eastAsia="仿宋" w:cs="仿宋"/>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1203" w:type="dxa"/>
            <w:tcBorders>
              <w:tl2br w:val="nil"/>
              <w:tr2bl w:val="nil"/>
            </w:tcBorders>
            <w:noWrap w:val="0"/>
            <w:vAlign w:val="center"/>
          </w:tcPr>
          <w:p>
            <w:pPr>
              <w:widowControl/>
              <w:jc w:val="center"/>
              <w:rPr>
                <w:rFonts w:hint="eastAsia" w:ascii="仿宋" w:hAnsi="仿宋" w:eastAsia="仿宋" w:cs="仿宋"/>
                <w:color w:val="000000"/>
                <w:kern w:val="0"/>
                <w:sz w:val="30"/>
                <w:szCs w:val="30"/>
                <w:lang w:val="en-US" w:eastAsia="zh-CN"/>
              </w:rPr>
            </w:pPr>
            <w:r>
              <w:rPr>
                <w:rFonts w:hint="eastAsia" w:ascii="仿宋" w:hAnsi="仿宋" w:eastAsia="仿宋" w:cs="仿宋"/>
                <w:color w:val="000000"/>
                <w:kern w:val="0"/>
                <w:sz w:val="30"/>
                <w:szCs w:val="30"/>
                <w:lang w:val="en-US" w:eastAsia="zh-CN"/>
              </w:rPr>
              <w:t>6</w:t>
            </w:r>
          </w:p>
        </w:tc>
        <w:tc>
          <w:tcPr>
            <w:tcW w:w="3780" w:type="dxa"/>
            <w:tcBorders>
              <w:tl2br w:val="nil"/>
              <w:tr2bl w:val="nil"/>
            </w:tcBorders>
            <w:noWrap w:val="0"/>
            <w:vAlign w:val="center"/>
          </w:tcPr>
          <w:p>
            <w:pPr>
              <w:widowControl/>
              <w:numPr>
                <w:ilvl w:val="0"/>
                <w:numId w:val="0"/>
              </w:numPr>
              <w:spacing w:line="360" w:lineRule="auto"/>
              <w:ind w:left="0" w:leftChars="0" w:firstLine="0" w:firstLineChars="0"/>
              <w:jc w:val="center"/>
              <w:rPr>
                <w:rFonts w:hint="eastAsia" w:ascii="仿宋" w:hAnsi="仿宋" w:eastAsia="仿宋" w:cs="仿宋"/>
                <w:color w:val="auto"/>
                <w:kern w:val="0"/>
                <w:sz w:val="30"/>
                <w:szCs w:val="30"/>
                <w:lang w:eastAsia="zh-CN"/>
              </w:rPr>
            </w:pPr>
            <w:r>
              <w:rPr>
                <w:rFonts w:hint="eastAsia" w:ascii="仿宋" w:hAnsi="仿宋" w:eastAsia="仿宋" w:cs="仿宋"/>
                <w:color w:val="auto"/>
                <w:sz w:val="30"/>
                <w:szCs w:val="30"/>
                <w:lang w:val="en-US" w:eastAsia="zh-CN"/>
              </w:rPr>
              <w:t>房产信息科</w:t>
            </w:r>
          </w:p>
        </w:tc>
        <w:tc>
          <w:tcPr>
            <w:tcW w:w="3326" w:type="dxa"/>
            <w:tcBorders>
              <w:tl2br w:val="nil"/>
              <w:tr2bl w:val="nil"/>
            </w:tcBorders>
            <w:noWrap/>
            <w:vAlign w:val="center"/>
          </w:tcPr>
          <w:p>
            <w:pPr>
              <w:widowControl/>
              <w:numPr>
                <w:ilvl w:val="0"/>
                <w:numId w:val="0"/>
              </w:numPr>
              <w:spacing w:line="360" w:lineRule="auto"/>
              <w:ind w:left="0" w:leftChars="0" w:firstLine="0" w:firstLineChars="0"/>
              <w:jc w:val="both"/>
              <w:rPr>
                <w:rFonts w:hint="eastAsia" w:ascii="仿宋" w:hAnsi="仿宋" w:eastAsia="仿宋" w:cs="仿宋"/>
                <w:color w:val="auto"/>
                <w:kern w:val="0"/>
                <w:sz w:val="30"/>
                <w:szCs w:val="30"/>
                <w:lang w:val="en-US" w:eastAsia="zh-CN"/>
              </w:rPr>
            </w:pPr>
            <w:r>
              <w:rPr>
                <w:rFonts w:hint="eastAsia" w:ascii="仿宋" w:hAnsi="仿宋" w:eastAsia="仿宋" w:cs="仿宋"/>
                <w:color w:val="auto"/>
                <w:kern w:val="0"/>
                <w:sz w:val="30"/>
                <w:szCs w:val="30"/>
                <w:lang w:val="en-US" w:eastAsia="zh-CN"/>
              </w:rPr>
              <w:t>全市房屋交易信息数据维护工作等。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jc w:val="center"/>
        </w:trPr>
        <w:tc>
          <w:tcPr>
            <w:tcW w:w="1203" w:type="dxa"/>
            <w:tcBorders>
              <w:tl2br w:val="nil"/>
              <w:tr2bl w:val="nil"/>
            </w:tcBorders>
            <w:noWrap w:val="0"/>
            <w:vAlign w:val="center"/>
          </w:tcPr>
          <w:p>
            <w:pPr>
              <w:widowControl/>
              <w:jc w:val="center"/>
              <w:rPr>
                <w:rFonts w:hint="default" w:ascii="仿宋" w:hAnsi="仿宋" w:eastAsia="仿宋" w:cs="仿宋"/>
                <w:color w:val="000000"/>
                <w:kern w:val="0"/>
                <w:sz w:val="30"/>
                <w:szCs w:val="30"/>
                <w:lang w:val="en-US" w:eastAsia="zh-CN"/>
              </w:rPr>
            </w:pPr>
            <w:r>
              <w:rPr>
                <w:rFonts w:hint="eastAsia" w:ascii="仿宋" w:hAnsi="仿宋" w:eastAsia="仿宋" w:cs="仿宋"/>
                <w:color w:val="000000"/>
                <w:kern w:val="0"/>
                <w:sz w:val="30"/>
                <w:szCs w:val="30"/>
                <w:lang w:val="en-US" w:eastAsia="zh-CN"/>
              </w:rPr>
              <w:t>7</w:t>
            </w:r>
          </w:p>
        </w:tc>
        <w:tc>
          <w:tcPr>
            <w:tcW w:w="3780" w:type="dxa"/>
            <w:tcBorders>
              <w:tl2br w:val="nil"/>
              <w:tr2bl w:val="nil"/>
            </w:tcBorders>
            <w:noWrap w:val="0"/>
            <w:vAlign w:val="center"/>
          </w:tcPr>
          <w:p>
            <w:pPr>
              <w:widowControl/>
              <w:numPr>
                <w:ilvl w:val="0"/>
                <w:numId w:val="0"/>
              </w:numPr>
              <w:spacing w:line="360" w:lineRule="auto"/>
              <w:ind w:left="0" w:leftChars="0" w:firstLine="0" w:firstLineChars="0"/>
              <w:jc w:val="center"/>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房地产市场服务科</w:t>
            </w:r>
          </w:p>
        </w:tc>
        <w:tc>
          <w:tcPr>
            <w:tcW w:w="3326" w:type="dxa"/>
            <w:tcBorders>
              <w:tl2br w:val="nil"/>
              <w:tr2bl w:val="nil"/>
            </w:tcBorders>
            <w:noWrap/>
            <w:vAlign w:val="center"/>
          </w:tcPr>
          <w:p>
            <w:pPr>
              <w:snapToGrid w:val="0"/>
              <w:spacing w:line="560" w:lineRule="exact"/>
              <w:rPr>
                <w:rFonts w:hint="eastAsia" w:ascii="仿宋" w:hAnsi="仿宋" w:eastAsia="仿宋" w:cs="仿宋"/>
                <w:sz w:val="30"/>
                <w:szCs w:val="30"/>
              </w:rPr>
            </w:pPr>
            <w:r>
              <w:rPr>
                <w:rFonts w:hint="eastAsia" w:ascii="仿宋" w:hAnsi="仿宋" w:eastAsia="仿宋" w:cs="仿宋"/>
                <w:sz w:val="30"/>
                <w:szCs w:val="30"/>
              </w:rPr>
              <w:t>全市房地产市场监测和调控分析并提出调控政策建议</w:t>
            </w:r>
            <w:r>
              <w:rPr>
                <w:rFonts w:hint="eastAsia" w:ascii="仿宋" w:hAnsi="仿宋" w:eastAsia="仿宋" w:cs="仿宋"/>
                <w:sz w:val="30"/>
                <w:szCs w:val="30"/>
                <w:lang w:eastAsia="zh-CN"/>
              </w:rPr>
              <w:t>；</w:t>
            </w:r>
            <w:r>
              <w:rPr>
                <w:rFonts w:hint="eastAsia" w:ascii="仿宋" w:hAnsi="仿宋" w:eastAsia="仿宋" w:cs="仿宋"/>
                <w:sz w:val="30"/>
                <w:szCs w:val="30"/>
              </w:rPr>
              <w:t>建立新建商品房、存量房楼盘表建立</w:t>
            </w:r>
            <w:r>
              <w:rPr>
                <w:rFonts w:hint="eastAsia" w:ascii="仿宋" w:hAnsi="仿宋" w:eastAsia="仿宋" w:cs="仿宋"/>
                <w:sz w:val="30"/>
                <w:szCs w:val="30"/>
                <w:lang w:eastAsia="zh-CN"/>
              </w:rPr>
              <w:t>；</w:t>
            </w:r>
            <w:r>
              <w:rPr>
                <w:rFonts w:hint="eastAsia" w:ascii="仿宋" w:hAnsi="仿宋" w:eastAsia="仿宋" w:cs="仿宋"/>
                <w:sz w:val="30"/>
                <w:szCs w:val="30"/>
              </w:rPr>
              <w:t>临河地区房屋交易合同备案，商品房预售许可、房屋交易资金监管的辅助性工作</w:t>
            </w:r>
            <w:r>
              <w:rPr>
                <w:rFonts w:hint="eastAsia" w:ascii="仿宋" w:hAnsi="仿宋" w:eastAsia="仿宋" w:cs="仿宋"/>
                <w:sz w:val="30"/>
                <w:szCs w:val="30"/>
                <w:lang w:val="en-US" w:eastAsia="zh-CN"/>
              </w:rPr>
              <w:t>等</w:t>
            </w:r>
            <w:r>
              <w:rPr>
                <w:rFonts w:hint="eastAsia" w:ascii="仿宋" w:hAnsi="仿宋" w:eastAsia="仿宋" w:cs="仿宋"/>
                <w:sz w:val="30"/>
                <w:szCs w:val="30"/>
              </w:rPr>
              <w:t>。</w:t>
            </w:r>
          </w:p>
        </w:tc>
      </w:tr>
    </w:tbl>
    <w:p>
      <w:pPr>
        <w:spacing w:line="600" w:lineRule="exact"/>
        <w:ind w:firstLine="640" w:firstLineChars="200"/>
        <w:rPr>
          <w:rFonts w:ascii="仿宋_GB2312" w:hAnsi="仿宋_GB2312" w:eastAsia="仿宋_GB2312" w:cs="仿宋_GB2312"/>
          <w:b/>
          <w:bCs/>
          <w:sz w:val="32"/>
          <w:szCs w:val="32"/>
        </w:rPr>
      </w:pPr>
      <w:r>
        <w:rPr>
          <w:rFonts w:hint="eastAsia" w:eastAsia="仿宋_GB2312" w:cstheme="minorBidi"/>
          <w:sz w:val="32"/>
          <w:szCs w:val="32"/>
        </w:rPr>
        <w:t>2</w:t>
      </w:r>
      <w:r>
        <w:rPr>
          <w:rFonts w:hint="eastAsia" w:eastAsia="仿宋_GB2312" w:cstheme="minorBidi"/>
          <w:sz w:val="32"/>
          <w:szCs w:val="32"/>
          <w:lang w:eastAsia="zh-CN"/>
        </w:rPr>
        <w:t>、</w:t>
      </w:r>
      <w:r>
        <w:rPr>
          <w:rFonts w:hint="eastAsia" w:eastAsia="仿宋_GB2312" w:cstheme="minorBidi"/>
          <w:sz w:val="32"/>
          <w:szCs w:val="32"/>
        </w:rPr>
        <w:t>从预算单位构成看，纳入本单位</w:t>
      </w:r>
      <w:r>
        <w:rPr>
          <w:rFonts w:hint="eastAsia" w:ascii="仿宋_GB2312" w:hAnsi="仿宋_GB2312" w:eastAsia="仿宋_GB2312" w:cs="仿宋"/>
          <w:sz w:val="32"/>
          <w:szCs w:val="32"/>
          <w:lang w:val="en-US" w:eastAsia="zh-CN"/>
        </w:rPr>
        <w:t>2026</w:t>
      </w:r>
      <w:r>
        <w:rPr>
          <w:rFonts w:hint="eastAsia" w:eastAsia="仿宋_GB2312" w:cstheme="minorBidi"/>
          <w:sz w:val="32"/>
          <w:szCs w:val="32"/>
        </w:rPr>
        <w:t>年部门汇总预算编制范围的预算单位共计</w:t>
      </w:r>
      <w:r>
        <w:rPr>
          <w:rFonts w:hint="eastAsia" w:ascii="仿宋_GB2312" w:hAnsi="仿宋_GB2312" w:eastAsia="仿宋_GB2312" w:cs="仿宋"/>
          <w:sz w:val="32"/>
          <w:szCs w:val="32"/>
          <w:lang w:val="en-US" w:eastAsia="zh-CN"/>
        </w:rPr>
        <w:t>1</w:t>
      </w:r>
      <w:r>
        <w:rPr>
          <w:rFonts w:hint="eastAsia" w:eastAsia="仿宋_GB2312" w:cstheme="minorBidi"/>
          <w:sz w:val="32"/>
          <w:szCs w:val="32"/>
        </w:rPr>
        <w:t>家，具体包括：</w:t>
      </w:r>
      <w:r>
        <w:rPr>
          <w:rFonts w:hint="eastAsia" w:ascii="仿宋_GB2312" w:hAnsi="仿宋_GB2312" w:eastAsia="仿宋_GB2312" w:cs="仿宋"/>
          <w:sz w:val="32"/>
          <w:szCs w:val="32"/>
          <w:highlight w:val="none"/>
          <w:lang w:eastAsia="zh-CN"/>
        </w:rPr>
        <w:t>巴彦淖尔市房屋产权交易中心</w:t>
      </w:r>
      <w:r>
        <w:rPr>
          <w:rFonts w:hint="eastAsia" w:eastAsia="仿宋_GB2312" w:cstheme="minorBidi"/>
          <w:sz w:val="32"/>
          <w:szCs w:val="32"/>
          <w:highlight w:val="none"/>
        </w:rPr>
        <w:t>。</w:t>
      </w:r>
      <w:r>
        <w:rPr>
          <w:rFonts w:hint="eastAsia" w:eastAsia="仿宋_GB2312" w:cstheme="minorBidi"/>
          <w:sz w:val="32"/>
          <w:szCs w:val="32"/>
        </w:rPr>
        <w:t>详细情况见表：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3260"/>
        <w:gridCol w:w="4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widowControl/>
              <w:jc w:val="center"/>
              <w:rPr>
                <w:rFonts w:ascii="仿宋" w:hAnsi="仿宋" w:eastAsia="仿宋" w:cs="仿宋"/>
                <w:color w:val="000000"/>
                <w:kern w:val="0"/>
                <w:sz w:val="31"/>
                <w:szCs w:val="31"/>
              </w:rPr>
            </w:pPr>
            <w:r>
              <w:rPr>
                <w:rFonts w:hint="eastAsia" w:eastAsia="仿宋_GB2312" w:cs="仿宋"/>
                <w:color w:val="000000"/>
                <w:kern w:val="0"/>
                <w:sz w:val="31"/>
                <w:szCs w:val="31"/>
              </w:rPr>
              <w:t>序号</w:t>
            </w:r>
          </w:p>
        </w:tc>
        <w:tc>
          <w:tcPr>
            <w:tcW w:w="3260" w:type="dxa"/>
            <w:vAlign w:val="center"/>
          </w:tcPr>
          <w:p>
            <w:pPr>
              <w:widowControl/>
              <w:jc w:val="center"/>
              <w:rPr>
                <w:rFonts w:ascii="仿宋" w:hAnsi="仿宋" w:eastAsia="仿宋" w:cs="仿宋"/>
                <w:color w:val="000000"/>
                <w:kern w:val="0"/>
                <w:sz w:val="31"/>
                <w:szCs w:val="31"/>
              </w:rPr>
            </w:pPr>
            <w:r>
              <w:rPr>
                <w:rFonts w:hint="eastAsia" w:eastAsia="仿宋_GB2312" w:cs="仿宋"/>
                <w:color w:val="000000"/>
                <w:kern w:val="0"/>
                <w:sz w:val="31"/>
                <w:szCs w:val="31"/>
              </w:rPr>
              <w:t>单位名称</w:t>
            </w:r>
          </w:p>
        </w:tc>
        <w:tc>
          <w:tcPr>
            <w:tcW w:w="4600" w:type="dxa"/>
            <w:vAlign w:val="center"/>
          </w:tcPr>
          <w:p>
            <w:pPr>
              <w:widowControl/>
              <w:jc w:val="center"/>
              <w:rPr>
                <w:rFonts w:ascii="仿宋" w:hAnsi="仿宋" w:eastAsia="仿宋" w:cs="仿宋"/>
                <w:color w:val="000000"/>
                <w:kern w:val="0"/>
                <w:sz w:val="31"/>
                <w:szCs w:val="31"/>
              </w:rPr>
            </w:pPr>
            <w:r>
              <w:rPr>
                <w:rFonts w:hint="eastAsia" w:eastAsia="仿宋_GB2312" w:cs="仿宋"/>
                <w:color w:val="000000"/>
                <w:kern w:val="0"/>
                <w:sz w:val="31"/>
                <w:szCs w:val="31"/>
              </w:rPr>
              <w:t>单位性质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2" w:type="dxa"/>
            <w:vAlign w:val="center"/>
          </w:tcPr>
          <w:p>
            <w:pPr>
              <w:widowControl/>
              <w:jc w:val="center"/>
              <w:rPr>
                <w:rFonts w:ascii="仿宋" w:hAnsi="仿宋" w:eastAsia="仿宋" w:cs="仿宋"/>
                <w:color w:val="000000"/>
                <w:kern w:val="0"/>
                <w:sz w:val="31"/>
                <w:szCs w:val="31"/>
              </w:rPr>
            </w:pPr>
            <w:r>
              <w:rPr>
                <w:rFonts w:hint="eastAsia" w:eastAsia="仿宋_GB2312" w:cs="仿宋"/>
                <w:color w:val="000000"/>
                <w:kern w:val="0"/>
                <w:sz w:val="31"/>
                <w:szCs w:val="31"/>
              </w:rPr>
              <w:t>1</w:t>
            </w:r>
          </w:p>
        </w:tc>
        <w:tc>
          <w:tcPr>
            <w:tcW w:w="3260" w:type="dxa"/>
            <w:vAlign w:val="top"/>
          </w:tcPr>
          <w:p>
            <w:pPr>
              <w:widowControl/>
              <w:jc w:val="center"/>
              <w:rPr>
                <w:rFonts w:ascii="仿宋" w:hAnsi="仿宋" w:eastAsia="仿宋" w:cs="仿宋"/>
                <w:color w:val="000000"/>
                <w:kern w:val="0"/>
                <w:sz w:val="31"/>
                <w:szCs w:val="31"/>
              </w:rPr>
            </w:pPr>
            <w:r>
              <w:rPr>
                <w:rFonts w:hint="eastAsia" w:ascii="仿宋_GB2312" w:hAnsi="仿宋_GB2312" w:eastAsia="仿宋_GB2312" w:cs="仿宋_GB2312"/>
                <w:color w:val="000000"/>
                <w:kern w:val="0"/>
                <w:sz w:val="32"/>
                <w:szCs w:val="32"/>
                <w:highlight w:val="none"/>
                <w:lang w:eastAsia="zh-CN" w:bidi="ar"/>
              </w:rPr>
              <w:t>巴彦淖尔市房屋产权交易中心</w:t>
            </w:r>
          </w:p>
        </w:tc>
        <w:tc>
          <w:tcPr>
            <w:tcW w:w="4600" w:type="dxa"/>
            <w:vAlign w:val="center"/>
          </w:tcPr>
          <w:p>
            <w:pPr>
              <w:widowControl/>
              <w:jc w:val="center"/>
              <w:rPr>
                <w:rFonts w:ascii="仿宋" w:hAnsi="仿宋" w:eastAsia="仿宋" w:cs="仿宋"/>
                <w:color w:val="000000"/>
                <w:kern w:val="0"/>
                <w:sz w:val="31"/>
                <w:szCs w:val="31"/>
              </w:rPr>
            </w:pPr>
            <w:r>
              <w:rPr>
                <w:rFonts w:hint="eastAsia" w:ascii="仿宋_GB2312" w:hAnsi="仿宋_GB2312" w:eastAsia="仿宋_GB2312" w:cs="仿宋_GB2312"/>
                <w:color w:val="000000"/>
                <w:kern w:val="0"/>
                <w:sz w:val="32"/>
                <w:szCs w:val="32"/>
                <w:highlight w:val="none"/>
                <w:lang w:bidi="ar"/>
              </w:rPr>
              <w:t>公益一类事业单位</w:t>
            </w:r>
          </w:p>
        </w:tc>
      </w:tr>
    </w:tbl>
    <w:p>
      <w:pPr>
        <w:numPr>
          <w:ilvl w:val="0"/>
          <w:numId w:val="1"/>
        </w:numPr>
        <w:spacing w:line="600" w:lineRule="exact"/>
        <w:ind w:left="17" w:leftChars="8" w:firstLine="626" w:firstLineChars="195"/>
        <w:outlineLvl w:val="2"/>
        <w:rPr>
          <w:rFonts w:eastAsia="黑体" w:cs="黑体"/>
          <w:sz w:val="32"/>
          <w:szCs w:val="36"/>
        </w:rPr>
      </w:pPr>
      <w:r>
        <w:rPr>
          <w:rFonts w:hint="eastAsia" w:ascii="黑体" w:hAnsi="黑体" w:eastAsia="黑体" w:cs="黑体"/>
          <w:b/>
          <w:bCs/>
          <w:sz w:val="32"/>
          <w:szCs w:val="36"/>
          <w:lang w:val="en-US" w:eastAsia="zh-CN"/>
        </w:rPr>
        <w:t>2026</w:t>
      </w:r>
      <w:r>
        <w:rPr>
          <w:rFonts w:hint="eastAsia" w:eastAsia="黑体" w:cs="黑体"/>
          <w:sz w:val="32"/>
          <w:szCs w:val="36"/>
        </w:rPr>
        <w:t>年度单位主要工作任务及目标</w:t>
      </w:r>
    </w:p>
    <w:p>
      <w:pPr>
        <w:pStyle w:val="4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0"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（一）主要工作任务</w:t>
      </w:r>
    </w:p>
    <w:p>
      <w:pPr>
        <w:pStyle w:val="9"/>
        <w:keepNext w:val="0"/>
        <w:keepLines w:val="0"/>
        <w:pageBreakBefore w:val="0"/>
        <w:widowControl w:val="0"/>
        <w:kinsoku/>
        <w:wordWrap/>
        <w:overflowPunct/>
        <w:topLinePunct w:val="0"/>
        <w:autoSpaceDE/>
        <w:autoSpaceDN/>
        <w:bidi w:val="0"/>
        <w:spacing w:line="600" w:lineRule="exact"/>
        <w:ind w:firstLine="643"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bidi="ar-SA"/>
        </w:rPr>
        <w:t>按照一城一策</w:t>
      </w:r>
      <w:r>
        <w:rPr>
          <w:rFonts w:hint="eastAsia" w:ascii="仿宋_GB2312" w:hAnsi="仿宋_GB2312" w:eastAsia="仿宋_GB2312" w:cs="仿宋_GB2312"/>
          <w:b w:val="0"/>
          <w:color w:val="auto"/>
          <w:kern w:val="2"/>
          <w:sz w:val="32"/>
          <w:szCs w:val="32"/>
          <w:lang w:val="en-US" w:eastAsia="zh-CN" w:bidi="zh-TW"/>
        </w:rPr>
        <w:t>方案要求，健全政策协同、调控联动、监测预警、舆论引导、市场监管等房地产调控机制。持续对管辖区内房地产开发项目建设情况和工程进度、新建商品房销售</w:t>
      </w:r>
      <w:r>
        <w:rPr>
          <w:rFonts w:hint="eastAsia" w:ascii="仿宋_GB2312" w:hAnsi="仿宋_GB2312" w:eastAsia="仿宋_GB2312" w:cs="仿宋_GB2312"/>
          <w:b w:val="0"/>
          <w:bCs w:val="0"/>
          <w:color w:val="auto"/>
          <w:sz w:val="32"/>
          <w:szCs w:val="32"/>
          <w:shd w:val="clear" w:color="auto" w:fill="FFFFFF"/>
          <w:lang w:eastAsia="zh-CN"/>
        </w:rPr>
        <w:t>和库存情况监测分析</w:t>
      </w:r>
      <w:r>
        <w:rPr>
          <w:rFonts w:hint="eastAsia" w:ascii="仿宋_GB2312" w:hAnsi="仿宋_GB2312" w:eastAsia="仿宋_GB2312" w:cs="仿宋_GB2312"/>
          <w:b w:val="0"/>
          <w:bCs w:val="0"/>
          <w:color w:val="auto"/>
          <w:sz w:val="32"/>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持续开展房地产领域乱象整治工作，加强房地产</w:t>
      </w:r>
      <w:r>
        <w:rPr>
          <w:rFonts w:hint="eastAsia" w:ascii="仿宋_GB2312" w:hAnsi="仿宋_GB2312" w:eastAsia="仿宋_GB2312" w:cs="仿宋_GB2312"/>
          <w:color w:val="auto"/>
          <w:sz w:val="32"/>
          <w:szCs w:val="32"/>
          <w:lang w:eastAsia="zh-CN"/>
        </w:rPr>
        <w:t>与物业管理</w:t>
      </w:r>
      <w:r>
        <w:rPr>
          <w:rFonts w:hint="eastAsia" w:ascii="仿宋_GB2312" w:hAnsi="仿宋_GB2312" w:eastAsia="仿宋_GB2312" w:cs="仿宋_GB2312"/>
          <w:color w:val="auto"/>
          <w:sz w:val="32"/>
          <w:szCs w:val="32"/>
        </w:rPr>
        <w:t>信用体系建设，加快建立房地产企业</w:t>
      </w:r>
      <w:r>
        <w:rPr>
          <w:rFonts w:hint="eastAsia" w:ascii="仿宋_GB2312" w:hAnsi="仿宋_GB2312" w:eastAsia="仿宋_GB2312" w:cs="仿宋_GB2312"/>
          <w:color w:val="auto"/>
          <w:sz w:val="32"/>
          <w:szCs w:val="32"/>
          <w:lang w:eastAsia="zh-CN"/>
        </w:rPr>
        <w:t>与物业企业</w:t>
      </w:r>
      <w:r>
        <w:rPr>
          <w:rFonts w:hint="eastAsia" w:ascii="仿宋_GB2312" w:hAnsi="仿宋_GB2312" w:eastAsia="仿宋_GB2312" w:cs="仿宋_GB2312"/>
          <w:color w:val="auto"/>
          <w:sz w:val="32"/>
          <w:szCs w:val="32"/>
        </w:rPr>
        <w:t>红黑名单制度，禁止有不良信誉企业进入市场，</w:t>
      </w:r>
      <w:r>
        <w:rPr>
          <w:rFonts w:hint="eastAsia" w:ascii="仿宋_GB2312" w:hAnsi="仿宋_GB2312" w:eastAsia="仿宋_GB2312" w:cs="仿宋_GB2312"/>
          <w:b w:val="0"/>
          <w:color w:val="auto"/>
          <w:kern w:val="2"/>
          <w:sz w:val="32"/>
          <w:szCs w:val="32"/>
          <w:lang w:val="en-US" w:eastAsia="zh-CN" w:bidi="zh-TW"/>
        </w:rPr>
        <w:t>推动“白名单”项目扩围增效。巩固和扩大房地产融资协调机制工作成效，扩大“白名单”项目覆盖范围，对合规住房开发项目要实现“应进尽进”，项目合理融资需求要实现“应贷尽贷”，帮助房地产企业做好“白名单”修复工作。</w:t>
      </w:r>
      <w:r>
        <w:rPr>
          <w:rFonts w:hint="eastAsia" w:ascii="仿宋_GB2312" w:hAnsi="仿宋_GB2312" w:eastAsia="仿宋_GB2312" w:cs="仿宋_GB2312"/>
          <w:color w:val="auto"/>
          <w:sz w:val="32"/>
          <w:szCs w:val="32"/>
        </w:rPr>
        <w:t>切实维护人民群众合法权益，促进房地产市场平稳健康发展。</w:t>
      </w:r>
    </w:p>
    <w:p>
      <w:pPr>
        <w:pStyle w:val="43"/>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color w:val="auto"/>
          <w:sz w:val="32"/>
          <w:szCs w:val="32"/>
        </w:rPr>
        <w:t>聚焦物业行业违法违规行为与安全生产问题，建立详细台账，压实各方责任，强化多部门协同联动。督促旗县区采用不定期检查与</w:t>
      </w:r>
      <w:r>
        <w:rPr>
          <w:rFonts w:hint="eastAsia" w:ascii="仿宋_GB2312" w:hAnsi="仿宋_GB2312" w:eastAsia="仿宋_GB2312" w:cs="仿宋_GB2312"/>
          <w:color w:val="auto"/>
          <w:sz w:val="32"/>
          <w:szCs w:val="32"/>
          <w:u w:val="none"/>
        </w:rPr>
        <w:t>“双随机</w:t>
      </w:r>
      <w:r>
        <w:rPr>
          <w:rFonts w:hint="eastAsia" w:ascii="仿宋_GB2312" w:hAnsi="仿宋_GB2312" w:eastAsia="仿宋_GB2312" w:cs="仿宋_GB2312"/>
          <w:color w:val="auto"/>
          <w:spacing w:val="8"/>
          <w:sz w:val="32"/>
          <w:szCs w:val="32"/>
        </w:rPr>
        <w:t>、</w:t>
      </w:r>
      <w:r>
        <w:rPr>
          <w:rFonts w:hint="eastAsia" w:ascii="仿宋_GB2312" w:hAnsi="仿宋_GB2312" w:eastAsia="仿宋_GB2312" w:cs="仿宋_GB2312"/>
          <w:color w:val="auto"/>
          <w:sz w:val="32"/>
          <w:szCs w:val="32"/>
          <w:u w:val="none"/>
        </w:rPr>
        <w:t>一公开”</w:t>
      </w:r>
      <w:r>
        <w:rPr>
          <w:rFonts w:hint="eastAsia" w:ascii="仿宋_GB2312" w:hAnsi="仿宋_GB2312" w:eastAsia="仿宋_GB2312" w:cs="仿宋_GB2312"/>
          <w:color w:val="auto"/>
          <w:sz w:val="32"/>
          <w:szCs w:val="32"/>
        </w:rPr>
        <w:t>监管相结合的方式，对物业服务区域开展专项检查。针对电动自行车违规停放充电、消防设施缺失等突出隐患，开展全链条整治行动。要求物业企业加大隐患排查频次，详实记录排查情况，对拒不整改的，及时移交消防等部门处理，全力守护群众生命财产安全。</w:t>
      </w:r>
    </w:p>
    <w:p>
      <w:pPr>
        <w:keepNext w:val="0"/>
        <w:keepLines w:val="0"/>
        <w:pageBreakBefore w:val="0"/>
        <w:widowControl w:val="0"/>
        <w:kinsoku/>
        <w:wordWrap/>
        <w:overflowPunct/>
        <w:topLinePunct w:val="0"/>
        <w:autoSpaceDE/>
        <w:autoSpaceDN/>
        <w:bidi w:val="0"/>
        <w:adjustRightInd/>
        <w:snapToGrid/>
        <w:spacing w:line="600" w:lineRule="exact"/>
        <w:ind w:firstLine="66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color w:val="auto"/>
          <w:sz w:val="32"/>
          <w:szCs w:val="32"/>
          <w:lang w:eastAsia="zh-CN"/>
        </w:rPr>
        <w:t>继续做好物业履约不到位侵害群众利益、征收安置难和预售资金监管不到位三项专项整治，收集线索，立行立改，建章立制，确保整治取得群众满意的实效。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firstLine="321" w:firstLineChars="100"/>
        <w:textAlignment w:val="auto"/>
        <w:rPr>
          <w:rFonts w:hint="eastAsia" w:ascii="仿宋_GB2312" w:hAnsi="仿宋_GB2312" w:eastAsia="仿宋_GB2312" w:cs="仿宋_GB2312"/>
          <w:b w:val="0"/>
          <w:bCs w:val="0"/>
          <w:i w:val="0"/>
          <w:iCs w:val="0"/>
          <w:caps w:val="0"/>
          <w:color w:val="000000"/>
          <w:spacing w:val="0"/>
          <w:sz w:val="32"/>
          <w:szCs w:val="32"/>
          <w:shd w:val="clear" w:color="auto" w:fill="FFFFFF"/>
          <w:lang w:val="en-US" w:eastAsia="zh-CN"/>
        </w:rPr>
      </w:pPr>
      <w:r>
        <w:rPr>
          <w:rFonts w:hint="eastAsia" w:ascii="仿宋_GB2312" w:hAnsi="仿宋_GB2312" w:eastAsia="仿宋_GB2312" w:cs="仿宋_GB2312"/>
          <w:b/>
          <w:bCs/>
          <w:i w:val="0"/>
          <w:iCs w:val="0"/>
          <w:caps w:val="0"/>
          <w:color w:val="000000"/>
          <w:spacing w:val="0"/>
          <w:sz w:val="32"/>
          <w:szCs w:val="32"/>
          <w:shd w:val="clear" w:color="auto" w:fill="FFFFFF"/>
          <w:lang w:val="en-US" w:eastAsia="zh-CN"/>
        </w:rPr>
        <w:t>（二）工作目标</w:t>
      </w:r>
    </w:p>
    <w:p>
      <w:pPr>
        <w:keepNext w:val="0"/>
        <w:keepLines w:val="0"/>
        <w:pageBreakBefore w:val="0"/>
        <w:widowControl w:val="0"/>
        <w:numPr>
          <w:ilvl w:val="0"/>
          <w:numId w:val="0"/>
        </w:numPr>
        <w:kinsoku/>
        <w:wordWrap/>
        <w:overflowPunct/>
        <w:topLinePunct w:val="0"/>
        <w:autoSpaceDE/>
        <w:autoSpaceDN/>
        <w:bidi w:val="0"/>
        <w:adjustRightInd/>
        <w:snapToGrid/>
        <w:spacing w:before="188" w:line="600" w:lineRule="exact"/>
        <w:ind w:firstLine="672" w:firstLineChars="200"/>
        <w:textAlignment w:val="auto"/>
        <w:rPr>
          <w:rFonts w:hint="eastAsia" w:ascii="仿宋_GB2312" w:hAnsi="仿宋_GB2312" w:eastAsia="仿宋_GB2312" w:cs="仿宋_GB2312"/>
          <w:color w:val="auto"/>
          <w:spacing w:val="8"/>
          <w:sz w:val="32"/>
          <w:szCs w:val="32"/>
          <w:lang w:eastAsia="zh-CN"/>
        </w:rPr>
      </w:pPr>
      <w:r>
        <w:rPr>
          <w:rFonts w:hint="eastAsia" w:ascii="仿宋_GB2312" w:hAnsi="仿宋_GB2312" w:eastAsia="仿宋_GB2312" w:cs="仿宋_GB2312"/>
          <w:color w:val="auto"/>
          <w:spacing w:val="8"/>
          <w:sz w:val="32"/>
          <w:szCs w:val="32"/>
        </w:rPr>
        <w:t>1</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rPr>
        <w:t>开展商品房、存量房资金监管业务</w:t>
      </w:r>
      <w:r>
        <w:rPr>
          <w:rFonts w:hint="eastAsia" w:ascii="仿宋_GB2312" w:hAnsi="仿宋_GB2312" w:eastAsia="仿宋_GB2312" w:cs="仿宋_GB2312"/>
          <w:color w:val="auto"/>
          <w:spacing w:val="8"/>
          <w:sz w:val="32"/>
          <w:szCs w:val="32"/>
          <w:lang w:eastAsia="zh-CN"/>
        </w:rPr>
        <w:t>；</w:t>
      </w:r>
    </w:p>
    <w:p>
      <w:pPr>
        <w:pStyle w:val="43"/>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600" w:lineRule="exact"/>
        <w:ind w:left="0" w:right="0" w:firstLine="672" w:firstLineChars="200"/>
        <w:jc w:val="both"/>
        <w:textAlignment w:val="auto"/>
        <w:rPr>
          <w:rFonts w:hint="default" w:ascii="仿宋" w:hAnsi="仿宋" w:eastAsia="仿宋" w:cs="宋体"/>
          <w:b w:val="0"/>
          <w:bCs w:val="0"/>
          <w:color w:val="auto"/>
          <w:sz w:val="32"/>
          <w:szCs w:val="32"/>
          <w:lang w:val="en-US" w:eastAsia="zh-CN"/>
        </w:rPr>
      </w:pPr>
      <w:r>
        <w:rPr>
          <w:rFonts w:hint="eastAsia" w:ascii="仿宋_GB2312" w:hAnsi="仿宋_GB2312" w:eastAsia="仿宋_GB2312" w:cs="仿宋_GB2312"/>
          <w:color w:val="auto"/>
          <w:spacing w:val="8"/>
          <w:sz w:val="32"/>
          <w:szCs w:val="32"/>
        </w:rPr>
        <w:t>2</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rPr>
        <w:t>临河地区房屋面积测绘成果备案；</w:t>
      </w:r>
      <w:r>
        <w:rPr>
          <w:rFonts w:hint="eastAsia" w:ascii="仿宋_GB2312" w:hAnsi="仿宋_GB2312" w:eastAsia="仿宋_GB2312" w:cs="仿宋_GB2312"/>
          <w:color w:val="auto"/>
          <w:spacing w:val="8"/>
          <w:sz w:val="32"/>
          <w:szCs w:val="32"/>
        </w:rPr>
        <w:cr/>
      </w:r>
      <w:r>
        <w:rPr>
          <w:rFonts w:hint="eastAsia" w:ascii="仿宋_GB2312" w:hAnsi="仿宋_GB2312" w:eastAsia="仿宋_GB2312" w:cs="仿宋_GB2312"/>
          <w:color w:val="auto"/>
          <w:spacing w:val="8"/>
          <w:sz w:val="32"/>
          <w:szCs w:val="32"/>
        </w:rPr>
        <w:t xml:space="preserve"> </w:t>
      </w:r>
      <w:r>
        <w:rPr>
          <w:rFonts w:hint="eastAsia" w:ascii="仿宋_GB2312" w:hAnsi="仿宋_GB2312" w:eastAsia="仿宋_GB2312" w:cs="仿宋_GB2312"/>
          <w:color w:val="auto"/>
          <w:spacing w:val="8"/>
          <w:sz w:val="32"/>
          <w:szCs w:val="32"/>
          <w:lang w:val="en-US" w:eastAsia="zh-CN"/>
        </w:rPr>
        <w:t xml:space="preserve">   3</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rPr>
        <w:t>协助主管部门开展全市物业服务的业务指导工作；</w:t>
      </w:r>
      <w:r>
        <w:rPr>
          <w:rFonts w:hint="eastAsia" w:ascii="仿宋_GB2312" w:hAnsi="仿宋_GB2312" w:eastAsia="仿宋_GB2312" w:cs="仿宋_GB2312"/>
          <w:color w:val="auto"/>
          <w:spacing w:val="8"/>
          <w:sz w:val="32"/>
          <w:szCs w:val="32"/>
        </w:rPr>
        <w:cr/>
      </w:r>
      <w:r>
        <w:rPr>
          <w:rFonts w:hint="eastAsia" w:ascii="仿宋_GB2312" w:hAnsi="仿宋_GB2312" w:eastAsia="仿宋_GB2312" w:cs="仿宋_GB2312"/>
          <w:color w:val="auto"/>
          <w:spacing w:val="8"/>
          <w:sz w:val="32"/>
          <w:szCs w:val="32"/>
          <w:lang w:val="en-US" w:eastAsia="zh-CN"/>
        </w:rPr>
        <w:t xml:space="preserve">    4</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rPr>
        <w:t>完成市住房和城乡建设局交办的其他工作任务。</w:t>
      </w:r>
    </w:p>
    <w:p>
      <w:pPr>
        <w:pStyle w:val="2"/>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bCs/>
          <w:sz w:val="36"/>
          <w:szCs w:val="36"/>
        </w:rPr>
      </w:pPr>
      <w:bookmarkStart w:id="1" w:name="_Toc21288"/>
      <w:r>
        <w:rPr>
          <w:rFonts w:hint="eastAsia" w:ascii="方正小标宋简体" w:hAnsi="方正小标宋简体" w:eastAsia="方正小标宋简体" w:cs="方正小标宋简体"/>
          <w:b/>
          <w:bCs/>
          <w:sz w:val="36"/>
          <w:szCs w:val="36"/>
        </w:rPr>
        <w:t xml:space="preserve">第二部分 </w:t>
      </w:r>
      <w:r>
        <w:rPr>
          <w:rFonts w:hint="eastAsia" w:ascii="方正小标宋简体" w:hAnsi="方正小标宋简体" w:eastAsia="方正小标宋简体" w:cs="方正小标宋简体"/>
          <w:b/>
          <w:bCs/>
          <w:sz w:val="36"/>
          <w:szCs w:val="36"/>
          <w:lang w:val="en-US" w:eastAsia="zh-CN"/>
        </w:rPr>
        <w:t>2026</w:t>
      </w:r>
      <w:r>
        <w:rPr>
          <w:rFonts w:hint="eastAsia" w:ascii="方正小标宋简体" w:hAnsi="方正小标宋简体" w:eastAsia="方正小标宋简体" w:cs="方正小标宋简体"/>
          <w:b/>
          <w:bCs/>
          <w:sz w:val="36"/>
          <w:szCs w:val="36"/>
        </w:rPr>
        <w:t>年度单位预算情况说明</w:t>
      </w:r>
      <w:bookmarkEnd w:id="1"/>
    </w:p>
    <w:p>
      <w:pPr>
        <w:spacing w:line="600" w:lineRule="exact"/>
        <w:rPr>
          <w:rFonts w:ascii="方正小标宋简体" w:hAnsi="方正小标宋简体" w:eastAsia="方正小标宋简体" w:cs="方正小标宋简体"/>
          <w:sz w:val="36"/>
          <w:szCs w:val="36"/>
        </w:rPr>
      </w:pPr>
    </w:p>
    <w:p>
      <w:pPr>
        <w:spacing w:line="600" w:lineRule="exact"/>
        <w:ind w:firstLine="640" w:firstLineChars="200"/>
        <w:outlineLvl w:val="2"/>
        <w:rPr>
          <w:rFonts w:eastAsia="黑体" w:cs="黑体"/>
          <w:sz w:val="32"/>
          <w:szCs w:val="36"/>
        </w:rPr>
      </w:pPr>
      <w:r>
        <w:rPr>
          <w:rFonts w:hint="eastAsia" w:eastAsia="黑体" w:cs="黑体"/>
          <w:sz w:val="32"/>
          <w:szCs w:val="36"/>
        </w:rPr>
        <w:t>一、收支预算总体情况说明</w:t>
      </w:r>
    </w:p>
    <w:p>
      <w:pPr>
        <w:pStyle w:val="11"/>
        <w:tabs>
          <w:tab w:val="left" w:pos="5840"/>
          <w:tab w:val="left" w:pos="7858"/>
          <w:tab w:val="left" w:pos="9328"/>
        </w:tabs>
        <w:spacing w:after="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hint="eastAsia" w:ascii="仿宋_GB2312" w:hAnsi="仿宋_GB2312" w:eastAsia="仿宋_GB2312" w:cs="仿宋_GB2312"/>
          <w:sz w:val="32"/>
          <w:szCs w:val="32"/>
        </w:rPr>
        <w:t>年度收入、支出预算总计</w:t>
      </w:r>
      <w:r>
        <w:rPr>
          <w:rFonts w:hint="eastAsia" w:ascii="仿宋_GB2312" w:hAnsi="仿宋_GB2312" w:eastAsia="仿宋_GB2312" w:cs="仿宋_GB2312"/>
          <w:sz w:val="32"/>
          <w:szCs w:val="32"/>
          <w:lang w:val="en-US" w:eastAsia="zh-CN"/>
        </w:rPr>
        <w:t>762.98</w:t>
      </w:r>
      <w:r>
        <w:rPr>
          <w:rFonts w:hint="eastAsia" w:ascii="仿宋_GB2312" w:hAnsi="仿宋_GB2312" w:eastAsia="仿宋_GB2312" w:cs="仿宋_GB2312"/>
          <w:sz w:val="32"/>
          <w:szCs w:val="32"/>
        </w:rPr>
        <w:t>万元，与上年相比收、支预算总计各</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68.81</w:t>
      </w:r>
      <w:r>
        <w:rPr>
          <w:rFonts w:hint="eastAsia" w:ascii="仿宋_GB2312" w:hAnsi="仿宋_GB2312" w:eastAsia="仿宋_GB2312" w:cs="仿宋_GB2312"/>
          <w:sz w:val="32"/>
          <w:szCs w:val="32"/>
        </w:rPr>
        <w:t>万元，</w:t>
      </w:r>
      <w:r>
        <w:rPr>
          <w:rFonts w:hint="eastAsia" w:eastAsia="仿宋_GB2312"/>
          <w:sz w:val="32"/>
          <w:szCs w:val="32"/>
          <w:highlight w:val="none"/>
          <w:lang w:eastAsia="zh-CN"/>
        </w:rPr>
        <w:t>增长</w:t>
      </w:r>
      <w:r>
        <w:rPr>
          <w:rFonts w:hint="eastAsia" w:ascii="仿宋_GB2312" w:hAnsi="仿宋_GB2312" w:eastAsia="仿宋_GB2312" w:cs="仿宋_GB2312"/>
          <w:sz w:val="32"/>
          <w:szCs w:val="32"/>
          <w:lang w:val="en-US" w:eastAsia="zh-CN"/>
        </w:rPr>
        <w:t>9.91</w:t>
      </w:r>
      <w:r>
        <w:rPr>
          <w:rFonts w:hint="eastAsia" w:ascii="仿宋_GB2312" w:hAnsi="仿宋_GB2312" w:eastAsia="仿宋_GB2312" w:cs="仿宋_GB2312"/>
          <w:sz w:val="32"/>
          <w:szCs w:val="32"/>
        </w:rPr>
        <w:t>%。其中：</w:t>
      </w:r>
    </w:p>
    <w:p>
      <w:pPr>
        <w:pStyle w:val="11"/>
        <w:tabs>
          <w:tab w:val="left" w:pos="4275"/>
        </w:tabs>
        <w:spacing w:after="0"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（一）收入预算总计</w:t>
      </w:r>
      <w:r>
        <w:rPr>
          <w:rFonts w:hint="eastAsia" w:ascii="楷体" w:hAnsi="楷体" w:eastAsia="楷体" w:cs="楷体"/>
          <w:b/>
          <w:bCs/>
          <w:sz w:val="32"/>
          <w:szCs w:val="32"/>
          <w:lang w:val="en-US" w:eastAsia="zh-CN"/>
        </w:rPr>
        <w:t>762.98</w:t>
      </w:r>
      <w:r>
        <w:rPr>
          <w:rFonts w:hint="eastAsia" w:ascii="楷体" w:hAnsi="楷体" w:eastAsia="楷体" w:cs="楷体"/>
          <w:b/>
          <w:bCs/>
          <w:sz w:val="32"/>
          <w:szCs w:val="32"/>
        </w:rPr>
        <w:t>万元。包括：</w:t>
      </w:r>
    </w:p>
    <w:p>
      <w:pPr>
        <w:pStyle w:val="11"/>
        <w:tabs>
          <w:tab w:val="left" w:pos="3792"/>
        </w:tabs>
        <w:spacing w:after="0" w:line="600" w:lineRule="exact"/>
        <w:ind w:firstLine="640" w:firstLineChars="200"/>
        <w:rPr>
          <w:rFonts w:eastAsia="仿宋_GB2312"/>
          <w:sz w:val="32"/>
          <w:szCs w:val="32"/>
        </w:rPr>
      </w:pPr>
      <w:r>
        <w:rPr>
          <w:rFonts w:eastAsia="仿宋_GB2312"/>
          <w:sz w:val="32"/>
          <w:szCs w:val="32"/>
        </w:rPr>
        <w:t>1．本年收入合计</w:t>
      </w:r>
      <w:r>
        <w:rPr>
          <w:rFonts w:hint="eastAsia" w:eastAsia="仿宋_GB2312"/>
          <w:sz w:val="32"/>
          <w:szCs w:val="32"/>
          <w:lang w:val="en-US" w:eastAsia="zh-CN"/>
        </w:rPr>
        <w:t>762.98</w:t>
      </w:r>
      <w:r>
        <w:rPr>
          <w:rFonts w:eastAsia="仿宋_GB2312"/>
          <w:sz w:val="32"/>
          <w:szCs w:val="32"/>
        </w:rPr>
        <w:t>万元。</w:t>
      </w:r>
    </w:p>
    <w:p>
      <w:pPr>
        <w:pStyle w:val="11"/>
        <w:tabs>
          <w:tab w:val="left" w:pos="1389"/>
          <w:tab w:val="left" w:pos="4911"/>
          <w:tab w:val="left" w:pos="5898"/>
        </w:tabs>
        <w:spacing w:after="0" w:line="600" w:lineRule="exact"/>
        <w:ind w:firstLine="640" w:firstLineChars="200"/>
        <w:rPr>
          <w:rFonts w:eastAsia="仿宋_GB2312"/>
          <w:color w:val="auto"/>
          <w:sz w:val="32"/>
          <w:szCs w:val="32"/>
        </w:rPr>
      </w:pPr>
      <w:r>
        <w:rPr>
          <w:rFonts w:eastAsia="仿宋_GB2312"/>
          <w:sz w:val="32"/>
          <w:szCs w:val="32"/>
        </w:rPr>
        <w:t>（1）一般公共预算拨款收入</w:t>
      </w:r>
      <w:r>
        <w:rPr>
          <w:rFonts w:hint="eastAsia" w:eastAsia="仿宋_GB2312"/>
          <w:sz w:val="32"/>
          <w:szCs w:val="32"/>
          <w:lang w:val="en-US" w:eastAsia="zh-CN"/>
        </w:rPr>
        <w:t>762.98</w:t>
      </w:r>
      <w:r>
        <w:rPr>
          <w:rFonts w:eastAsia="仿宋_GB2312"/>
          <w:sz w:val="32"/>
          <w:szCs w:val="32"/>
        </w:rPr>
        <w:t>万元，与上年相比</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68.81</w:t>
      </w:r>
      <w:r>
        <w:rPr>
          <w:rFonts w:eastAsia="仿宋_GB2312"/>
          <w:sz w:val="32"/>
          <w:szCs w:val="32"/>
        </w:rPr>
        <w:t>万元，</w:t>
      </w:r>
      <w:r>
        <w:rPr>
          <w:rFonts w:hint="eastAsia" w:eastAsia="仿宋_GB2312"/>
          <w:sz w:val="32"/>
          <w:szCs w:val="32"/>
          <w:highlight w:val="none"/>
          <w:lang w:eastAsia="zh-CN"/>
        </w:rPr>
        <w:t>增长</w:t>
      </w:r>
      <w:r>
        <w:rPr>
          <w:rFonts w:hint="eastAsia" w:ascii="仿宋_GB2312" w:hAnsi="仿宋_GB2312" w:eastAsia="仿宋_GB2312" w:cs="仿宋_GB2312"/>
          <w:sz w:val="32"/>
          <w:szCs w:val="32"/>
          <w:lang w:val="en-US" w:eastAsia="zh-CN"/>
        </w:rPr>
        <w:t>9.91</w:t>
      </w:r>
      <w:r>
        <w:rPr>
          <w:rFonts w:hint="eastAsia" w:ascii="仿宋_GB2312" w:hAnsi="仿宋_GB2312" w:eastAsia="仿宋_GB2312" w:cs="仿宋_GB2312"/>
          <w:sz w:val="32"/>
          <w:szCs w:val="32"/>
        </w:rPr>
        <w:t>%</w:t>
      </w:r>
      <w:r>
        <w:rPr>
          <w:rFonts w:eastAsia="仿宋_GB2312"/>
          <w:sz w:val="32"/>
          <w:szCs w:val="32"/>
        </w:rPr>
        <w:t>。主要原因是</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5人，在编人数比去年增加，因此工资及五险一金都有所增加</w:t>
      </w:r>
      <w:r>
        <w:rPr>
          <w:rFonts w:eastAsia="仿宋_GB2312"/>
          <w:color w:val="auto"/>
          <w:sz w:val="32"/>
          <w:szCs w:val="32"/>
        </w:rPr>
        <w:t>。</w:t>
      </w:r>
    </w:p>
    <w:p>
      <w:pPr>
        <w:pStyle w:val="11"/>
        <w:tabs>
          <w:tab w:val="left" w:pos="1389"/>
          <w:tab w:val="left" w:pos="4911"/>
          <w:tab w:val="left" w:pos="5991"/>
        </w:tabs>
        <w:spacing w:after="0" w:line="600" w:lineRule="exact"/>
        <w:ind w:firstLine="640" w:firstLineChars="200"/>
        <w:rPr>
          <w:rFonts w:eastAsia="仿宋_GB2312"/>
          <w:sz w:val="32"/>
          <w:szCs w:val="32"/>
        </w:rPr>
      </w:pPr>
      <w:r>
        <w:rPr>
          <w:rFonts w:eastAsia="仿宋_GB2312"/>
          <w:sz w:val="32"/>
          <w:szCs w:val="32"/>
        </w:rPr>
        <w:t>（2）</w:t>
      </w:r>
      <w:r>
        <w:rPr>
          <w:rFonts w:eastAsia="仿宋_GB2312"/>
          <w:sz w:val="32"/>
          <w:szCs w:val="32"/>
          <w:highlight w:val="none"/>
        </w:rPr>
        <w:t>政府性基金预算拨款收入</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政府性基金预算拨款收入。</w:t>
      </w:r>
    </w:p>
    <w:p>
      <w:pPr>
        <w:pStyle w:val="11"/>
        <w:keepNext w:val="0"/>
        <w:keepLines w:val="0"/>
        <w:pageBreakBefore w:val="0"/>
        <w:widowControl w:val="0"/>
        <w:tabs>
          <w:tab w:val="left" w:pos="1389"/>
          <w:tab w:val="left" w:pos="4911"/>
          <w:tab w:val="left" w:pos="6205"/>
        </w:tabs>
        <w:kinsoku/>
        <w:wordWrap/>
        <w:overflowPunct/>
        <w:topLinePunct w:val="0"/>
        <w:autoSpaceDE/>
        <w:autoSpaceDN/>
        <w:bidi w:val="0"/>
        <w:adjustRightInd/>
        <w:snapToGrid/>
        <w:spacing w:after="0" w:line="600" w:lineRule="exact"/>
        <w:ind w:firstLine="640" w:firstLineChars="200"/>
        <w:textAlignment w:val="auto"/>
        <w:rPr>
          <w:rFonts w:eastAsia="仿宋_GB2312"/>
          <w:sz w:val="32"/>
          <w:szCs w:val="32"/>
        </w:rPr>
      </w:pPr>
      <w:r>
        <w:rPr>
          <w:rFonts w:eastAsia="仿宋_GB2312"/>
          <w:sz w:val="32"/>
          <w:szCs w:val="32"/>
        </w:rPr>
        <w:t>（3）</w:t>
      </w:r>
      <w:r>
        <w:rPr>
          <w:rFonts w:eastAsia="仿宋_GB2312"/>
          <w:sz w:val="32"/>
          <w:szCs w:val="32"/>
          <w:highlight w:val="none"/>
        </w:rPr>
        <w:t>国有资本经营预算拨款收入</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国有资本经营预算拨款收入。</w:t>
      </w:r>
    </w:p>
    <w:p>
      <w:pPr>
        <w:pStyle w:val="11"/>
        <w:keepNext w:val="0"/>
        <w:keepLines w:val="0"/>
        <w:pageBreakBefore w:val="0"/>
        <w:widowControl w:val="0"/>
        <w:tabs>
          <w:tab w:val="left" w:pos="1389"/>
          <w:tab w:val="left" w:pos="4911"/>
          <w:tab w:val="left" w:pos="5898"/>
        </w:tabs>
        <w:kinsoku/>
        <w:wordWrap/>
        <w:overflowPunct/>
        <w:topLinePunct w:val="0"/>
        <w:autoSpaceDE/>
        <w:autoSpaceDN/>
        <w:bidi w:val="0"/>
        <w:adjustRightInd/>
        <w:snapToGrid/>
        <w:spacing w:after="0" w:line="600" w:lineRule="exact"/>
        <w:ind w:firstLine="640" w:firstLineChars="200"/>
        <w:textAlignment w:val="auto"/>
        <w:rPr>
          <w:rFonts w:eastAsia="仿宋_GB2312"/>
          <w:sz w:val="32"/>
          <w:szCs w:val="32"/>
          <w:highlight w:val="none"/>
        </w:rPr>
      </w:pPr>
      <w:r>
        <w:rPr>
          <w:rFonts w:eastAsia="仿宋_GB2312"/>
          <w:sz w:val="32"/>
          <w:szCs w:val="32"/>
        </w:rPr>
        <w:t>（4）</w:t>
      </w:r>
      <w:r>
        <w:rPr>
          <w:rFonts w:eastAsia="仿宋_GB2312"/>
          <w:sz w:val="32"/>
          <w:szCs w:val="32"/>
          <w:highlight w:val="none"/>
        </w:rPr>
        <w:t>财政专户管理资金收入</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财政专户管理资金收入。</w:t>
      </w:r>
    </w:p>
    <w:p>
      <w:pPr>
        <w:pStyle w:val="11"/>
        <w:keepNext w:val="0"/>
        <w:keepLines w:val="0"/>
        <w:pageBreakBefore w:val="0"/>
        <w:widowControl w:val="0"/>
        <w:tabs>
          <w:tab w:val="left" w:pos="3310"/>
          <w:tab w:val="left" w:pos="3807"/>
          <w:tab w:val="left" w:pos="9433"/>
        </w:tabs>
        <w:kinsoku/>
        <w:wordWrap/>
        <w:overflowPunct/>
        <w:topLinePunct w:val="0"/>
        <w:autoSpaceDE/>
        <w:autoSpaceDN/>
        <w:bidi w:val="0"/>
        <w:adjustRightInd/>
        <w:snapToGrid/>
        <w:spacing w:after="0" w:line="600" w:lineRule="exact"/>
        <w:ind w:firstLine="640" w:firstLineChars="200"/>
        <w:textAlignment w:val="auto"/>
        <w:rPr>
          <w:rFonts w:eastAsia="仿宋_GB2312"/>
          <w:sz w:val="32"/>
          <w:szCs w:val="32"/>
          <w:highlight w:val="none"/>
        </w:rPr>
      </w:pPr>
      <w:r>
        <w:rPr>
          <w:rFonts w:eastAsia="仿宋_GB2312"/>
          <w:sz w:val="32"/>
          <w:szCs w:val="32"/>
          <w:highlight w:val="none"/>
        </w:rPr>
        <w:t>（5）事业收入</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事业收入。</w:t>
      </w:r>
    </w:p>
    <w:p>
      <w:pPr>
        <w:pStyle w:val="11"/>
        <w:keepNext w:val="0"/>
        <w:keepLines w:val="0"/>
        <w:pageBreakBefore w:val="0"/>
        <w:widowControl w:val="0"/>
        <w:tabs>
          <w:tab w:val="left" w:pos="1389"/>
          <w:tab w:val="left" w:pos="4911"/>
          <w:tab w:val="left" w:pos="5900"/>
        </w:tabs>
        <w:kinsoku/>
        <w:wordWrap/>
        <w:overflowPunct/>
        <w:topLinePunct w:val="0"/>
        <w:autoSpaceDE/>
        <w:autoSpaceDN/>
        <w:bidi w:val="0"/>
        <w:adjustRightInd/>
        <w:snapToGrid/>
        <w:spacing w:after="0" w:line="600" w:lineRule="exact"/>
        <w:ind w:firstLine="640" w:firstLineChars="200"/>
        <w:textAlignment w:val="auto"/>
        <w:rPr>
          <w:rFonts w:eastAsia="仿宋_GB2312"/>
          <w:sz w:val="32"/>
          <w:szCs w:val="32"/>
          <w:highlight w:val="none"/>
        </w:rPr>
      </w:pPr>
      <w:r>
        <w:rPr>
          <w:rFonts w:eastAsia="仿宋_GB2312"/>
          <w:sz w:val="32"/>
          <w:szCs w:val="32"/>
          <w:highlight w:val="none"/>
        </w:rPr>
        <w:t>（6）事业单位经营收入</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事业单位经营收入。</w:t>
      </w:r>
    </w:p>
    <w:p>
      <w:pPr>
        <w:pStyle w:val="11"/>
        <w:keepNext w:val="0"/>
        <w:keepLines w:val="0"/>
        <w:pageBreakBefore w:val="0"/>
        <w:widowControl w:val="0"/>
        <w:tabs>
          <w:tab w:val="left" w:pos="4320"/>
          <w:tab w:val="left" w:pos="9433"/>
        </w:tabs>
        <w:kinsoku/>
        <w:wordWrap/>
        <w:overflowPunct/>
        <w:topLinePunct w:val="0"/>
        <w:autoSpaceDE/>
        <w:autoSpaceDN/>
        <w:bidi w:val="0"/>
        <w:adjustRightInd/>
        <w:snapToGrid/>
        <w:spacing w:after="0" w:line="600" w:lineRule="exact"/>
        <w:ind w:firstLine="640" w:firstLineChars="200"/>
        <w:textAlignment w:val="auto"/>
        <w:rPr>
          <w:rFonts w:eastAsia="仿宋_GB2312"/>
          <w:sz w:val="32"/>
          <w:szCs w:val="32"/>
          <w:highlight w:val="none"/>
        </w:rPr>
      </w:pPr>
      <w:r>
        <w:rPr>
          <w:rFonts w:eastAsia="仿宋_GB2312"/>
          <w:sz w:val="32"/>
          <w:szCs w:val="32"/>
          <w:highlight w:val="none"/>
        </w:rPr>
        <w:t>（7）上级补助收入</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上级补助收入。</w:t>
      </w:r>
    </w:p>
    <w:p>
      <w:pPr>
        <w:pStyle w:val="11"/>
        <w:keepNext w:val="0"/>
        <w:keepLines w:val="0"/>
        <w:pageBreakBefore w:val="0"/>
        <w:widowControl w:val="0"/>
        <w:tabs>
          <w:tab w:val="left" w:pos="1389"/>
          <w:tab w:val="left" w:pos="4911"/>
          <w:tab w:val="left" w:pos="5900"/>
        </w:tabs>
        <w:kinsoku/>
        <w:wordWrap/>
        <w:overflowPunct/>
        <w:topLinePunct w:val="0"/>
        <w:autoSpaceDE/>
        <w:autoSpaceDN/>
        <w:bidi w:val="0"/>
        <w:adjustRightInd/>
        <w:snapToGrid/>
        <w:spacing w:after="0" w:line="600" w:lineRule="exact"/>
        <w:ind w:firstLine="640" w:firstLineChars="200"/>
        <w:textAlignment w:val="auto"/>
        <w:rPr>
          <w:rFonts w:eastAsia="仿宋_GB2312"/>
          <w:sz w:val="32"/>
          <w:szCs w:val="32"/>
          <w:highlight w:val="none"/>
        </w:rPr>
      </w:pPr>
      <w:r>
        <w:rPr>
          <w:rFonts w:eastAsia="仿宋_GB2312"/>
          <w:sz w:val="32"/>
          <w:szCs w:val="32"/>
          <w:highlight w:val="none"/>
        </w:rPr>
        <w:t>（8）附属单位上缴收入</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附属单位上缴收入。</w:t>
      </w:r>
    </w:p>
    <w:p>
      <w:pPr>
        <w:pStyle w:val="11"/>
        <w:keepNext w:val="0"/>
        <w:keepLines w:val="0"/>
        <w:pageBreakBefore w:val="0"/>
        <w:widowControl w:val="0"/>
        <w:tabs>
          <w:tab w:val="left" w:pos="3310"/>
          <w:tab w:val="left" w:pos="4121"/>
          <w:tab w:val="left" w:pos="9431"/>
        </w:tabs>
        <w:kinsoku/>
        <w:wordWrap/>
        <w:overflowPunct/>
        <w:topLinePunct w:val="0"/>
        <w:autoSpaceDE/>
        <w:autoSpaceDN/>
        <w:bidi w:val="0"/>
        <w:adjustRightInd/>
        <w:snapToGrid/>
        <w:spacing w:after="0" w:line="600" w:lineRule="exact"/>
        <w:ind w:firstLine="640" w:firstLineChars="200"/>
        <w:textAlignment w:val="auto"/>
        <w:rPr>
          <w:rFonts w:eastAsia="仿宋_GB2312"/>
          <w:sz w:val="32"/>
          <w:szCs w:val="32"/>
          <w:highlight w:val="none"/>
        </w:rPr>
      </w:pPr>
      <w:r>
        <w:rPr>
          <w:rFonts w:eastAsia="仿宋_GB2312"/>
          <w:sz w:val="32"/>
          <w:szCs w:val="32"/>
          <w:highlight w:val="none"/>
        </w:rPr>
        <w:t>（9）其他收入</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其他收入。</w:t>
      </w:r>
    </w:p>
    <w:p>
      <w:pPr>
        <w:pStyle w:val="11"/>
        <w:keepNext w:val="0"/>
        <w:keepLines w:val="0"/>
        <w:pageBreakBefore w:val="0"/>
        <w:widowControl w:val="0"/>
        <w:tabs>
          <w:tab w:val="left" w:pos="3310"/>
          <w:tab w:val="left" w:pos="4280"/>
          <w:tab w:val="left" w:pos="9431"/>
        </w:tabs>
        <w:kinsoku/>
        <w:wordWrap/>
        <w:overflowPunct/>
        <w:topLinePunct w:val="0"/>
        <w:autoSpaceDE/>
        <w:autoSpaceDN/>
        <w:bidi w:val="0"/>
        <w:adjustRightInd/>
        <w:snapToGrid/>
        <w:spacing w:after="0" w:line="600" w:lineRule="exact"/>
        <w:ind w:firstLine="640" w:firstLineChars="200"/>
        <w:textAlignment w:val="auto"/>
        <w:rPr>
          <w:rFonts w:eastAsia="仿宋_GB2312"/>
          <w:sz w:val="32"/>
          <w:szCs w:val="32"/>
          <w:highlight w:val="none"/>
        </w:rPr>
      </w:pPr>
      <w:r>
        <w:rPr>
          <w:rFonts w:eastAsia="仿宋_GB2312"/>
          <w:sz w:val="32"/>
          <w:szCs w:val="32"/>
          <w:highlight w:val="none"/>
        </w:rPr>
        <w:t>2．上年结转结余</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32"/>
          <w:highlight w:val="none"/>
          <w:lang w:eastAsia="zh-CN"/>
        </w:rPr>
        <w:t>我单位</w:t>
      </w:r>
      <w:r>
        <w:rPr>
          <w:rFonts w:hint="eastAsia" w:ascii="仿宋_GB2312" w:hAnsi="仿宋_GB2312" w:eastAsia="仿宋_GB2312"/>
          <w:sz w:val="32"/>
          <w:szCs w:val="24"/>
        </w:rPr>
        <w:t>不存在</w:t>
      </w:r>
      <w:r>
        <w:rPr>
          <w:rFonts w:eastAsia="仿宋_GB2312"/>
          <w:sz w:val="32"/>
          <w:szCs w:val="32"/>
          <w:highlight w:val="none"/>
        </w:rPr>
        <w:t>上年结转结余。</w:t>
      </w:r>
    </w:p>
    <w:p>
      <w:pPr>
        <w:pStyle w:val="11"/>
        <w:tabs>
          <w:tab w:val="left" w:pos="4275"/>
        </w:tabs>
        <w:spacing w:after="0"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（二）支出预算总计</w:t>
      </w:r>
      <w:r>
        <w:rPr>
          <w:rFonts w:hint="eastAsia" w:ascii="楷体" w:hAnsi="楷体" w:eastAsia="楷体" w:cs="楷体"/>
          <w:b/>
          <w:bCs/>
          <w:sz w:val="32"/>
          <w:szCs w:val="32"/>
          <w:lang w:val="en-US" w:eastAsia="zh-CN"/>
        </w:rPr>
        <w:t>762.98</w:t>
      </w:r>
      <w:r>
        <w:rPr>
          <w:rFonts w:hint="eastAsia" w:ascii="楷体" w:hAnsi="楷体" w:eastAsia="楷体" w:cs="楷体"/>
          <w:b/>
          <w:bCs/>
          <w:sz w:val="32"/>
          <w:szCs w:val="32"/>
        </w:rPr>
        <w:t>万元。包括：</w:t>
      </w:r>
    </w:p>
    <w:p>
      <w:pPr>
        <w:pStyle w:val="11"/>
        <w:tabs>
          <w:tab w:val="left" w:pos="3792"/>
        </w:tabs>
        <w:spacing w:after="0" w:line="600" w:lineRule="exact"/>
        <w:ind w:firstLine="640" w:firstLineChars="200"/>
        <w:rPr>
          <w:rFonts w:eastAsia="仿宋_GB2312"/>
          <w:sz w:val="32"/>
          <w:szCs w:val="32"/>
        </w:rPr>
      </w:pPr>
      <w:r>
        <w:rPr>
          <w:rFonts w:eastAsia="仿宋_GB2312"/>
          <w:sz w:val="32"/>
          <w:szCs w:val="32"/>
        </w:rPr>
        <w:t>1．本年支出合计</w:t>
      </w:r>
      <w:r>
        <w:rPr>
          <w:rFonts w:hint="eastAsia" w:eastAsia="仿宋_GB2312"/>
          <w:sz w:val="32"/>
          <w:szCs w:val="32"/>
          <w:lang w:val="en-US" w:eastAsia="zh-CN"/>
        </w:rPr>
        <w:t>762.98</w:t>
      </w:r>
      <w:r>
        <w:rPr>
          <w:rFonts w:eastAsia="仿宋_GB2312"/>
          <w:sz w:val="32"/>
          <w:szCs w:val="32"/>
        </w:rPr>
        <w:t>万元。</w:t>
      </w:r>
    </w:p>
    <w:p>
      <w:pPr>
        <w:pStyle w:val="11"/>
        <w:tabs>
          <w:tab w:val="left" w:pos="1389"/>
          <w:tab w:val="left" w:pos="4911"/>
          <w:tab w:val="left" w:pos="5898"/>
        </w:tabs>
        <w:spacing w:after="0" w:line="600" w:lineRule="exact"/>
        <w:ind w:firstLine="640" w:firstLineChars="200"/>
        <w:rPr>
          <w:rFonts w:hint="default" w:eastAsia="仿宋_GB2312"/>
          <w:color w:val="auto"/>
          <w:sz w:val="32"/>
          <w:szCs w:val="32"/>
          <w:lang w:val="en-US"/>
        </w:rPr>
      </w:pPr>
      <w:r>
        <w:rPr>
          <w:rFonts w:eastAsia="仿宋_GB2312"/>
          <w:sz w:val="32"/>
          <w:szCs w:val="32"/>
          <w:highlight w:val="none"/>
        </w:rPr>
        <w:t>（1）</w:t>
      </w:r>
      <w:r>
        <w:rPr>
          <w:rFonts w:hint="eastAsia" w:eastAsia="仿宋_GB2312"/>
          <w:sz w:val="32"/>
          <w:szCs w:val="32"/>
          <w:highlight w:val="none"/>
          <w:lang w:eastAsia="zh-CN"/>
        </w:rPr>
        <w:t>社会保障和就业支出</w:t>
      </w:r>
      <w:r>
        <w:rPr>
          <w:rFonts w:eastAsia="仿宋_GB2312"/>
          <w:sz w:val="32"/>
          <w:szCs w:val="32"/>
          <w:highlight w:val="none"/>
        </w:rPr>
        <w:t>（类）支出</w:t>
      </w:r>
      <w:r>
        <w:rPr>
          <w:rFonts w:hint="eastAsia" w:eastAsia="仿宋_GB2312"/>
          <w:sz w:val="32"/>
          <w:szCs w:val="32"/>
          <w:highlight w:val="none"/>
          <w:u w:val="none"/>
          <w:lang w:val="en-US" w:eastAsia="zh-CN"/>
        </w:rPr>
        <w:t>88.47</w:t>
      </w:r>
      <w:r>
        <w:rPr>
          <w:rFonts w:eastAsia="仿宋_GB2312"/>
          <w:sz w:val="32"/>
          <w:szCs w:val="32"/>
          <w:highlight w:val="none"/>
        </w:rPr>
        <w:t>万元，主要用于</w:t>
      </w:r>
      <w:r>
        <w:rPr>
          <w:rFonts w:hint="eastAsia" w:ascii="仿宋_GB2312" w:eastAsia="仿宋_GB2312"/>
          <w:sz w:val="32"/>
          <w:szCs w:val="32"/>
        </w:rPr>
        <w:t>离退休人员经费</w:t>
      </w:r>
      <w:r>
        <w:rPr>
          <w:rFonts w:hint="eastAsia" w:ascii="仿宋_GB2312" w:eastAsia="仿宋_GB2312"/>
          <w:sz w:val="32"/>
          <w:szCs w:val="32"/>
          <w:lang w:val="en-US" w:eastAsia="zh-CN"/>
        </w:rPr>
        <w:t>及取暖补贴、单位职工养老保险、工伤保险、失业保险缴纳</w:t>
      </w:r>
      <w:r>
        <w:rPr>
          <w:rFonts w:eastAsia="仿宋_GB2312"/>
          <w:sz w:val="32"/>
          <w:szCs w:val="32"/>
          <w:highlight w:val="none"/>
        </w:rPr>
        <w:t>。与上年相比</w:t>
      </w:r>
      <w:r>
        <w:rPr>
          <w:rFonts w:hint="eastAsia" w:eastAsia="仿宋_GB2312"/>
          <w:sz w:val="32"/>
          <w:szCs w:val="32"/>
          <w:highlight w:val="none"/>
          <w:lang w:eastAsia="zh-CN"/>
        </w:rPr>
        <w:t>减少</w:t>
      </w:r>
      <w:r>
        <w:rPr>
          <w:rFonts w:hint="eastAsia" w:eastAsia="仿宋_GB2312"/>
          <w:sz w:val="32"/>
          <w:szCs w:val="32"/>
          <w:highlight w:val="none"/>
          <w:lang w:val="en-US" w:eastAsia="zh-CN"/>
        </w:rPr>
        <w:t>4.39</w:t>
      </w:r>
      <w:r>
        <w:rPr>
          <w:rFonts w:eastAsia="仿宋_GB2312"/>
          <w:sz w:val="32"/>
          <w:szCs w:val="32"/>
          <w:highlight w:val="none"/>
        </w:rPr>
        <w:t>万元，</w:t>
      </w:r>
      <w:r>
        <w:rPr>
          <w:rFonts w:hint="eastAsia" w:eastAsia="仿宋_GB2312"/>
          <w:sz w:val="32"/>
          <w:szCs w:val="32"/>
          <w:highlight w:val="none"/>
          <w:lang w:eastAsia="zh-CN"/>
        </w:rPr>
        <w:t>减少</w:t>
      </w:r>
      <w:r>
        <w:rPr>
          <w:rFonts w:hint="eastAsia" w:eastAsia="仿宋_GB2312"/>
          <w:sz w:val="32"/>
          <w:szCs w:val="32"/>
          <w:highlight w:val="none"/>
          <w:lang w:val="en-US" w:eastAsia="zh-CN"/>
        </w:rPr>
        <w:t>4.72</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sz w:val="32"/>
          <w:szCs w:val="32"/>
          <w:highlight w:val="none"/>
          <w:lang w:val="en-US" w:eastAsia="zh-CN"/>
        </w:rPr>
        <w:t>2025年4月开始，按照市财政要求，对单位退休人员停止发放交通补贴和通讯补贴，因此本年会减少</w:t>
      </w:r>
      <w:r>
        <w:rPr>
          <w:rFonts w:hint="eastAsia" w:eastAsia="仿宋_GB2312"/>
          <w:color w:val="auto"/>
          <w:sz w:val="32"/>
          <w:szCs w:val="32"/>
          <w:lang w:val="en-US" w:eastAsia="zh-CN"/>
        </w:rPr>
        <w:t>。</w:t>
      </w:r>
    </w:p>
    <w:p>
      <w:pPr>
        <w:pStyle w:val="11"/>
        <w:tabs>
          <w:tab w:val="left" w:pos="1389"/>
          <w:tab w:val="left" w:pos="4911"/>
          <w:tab w:val="left" w:pos="5898"/>
        </w:tabs>
        <w:spacing w:after="0" w:line="600" w:lineRule="exact"/>
        <w:ind w:firstLine="640" w:firstLineChars="200"/>
        <w:rPr>
          <w:rFonts w:eastAsia="仿宋_GB2312"/>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lang w:eastAsia="zh-CN"/>
        </w:rPr>
        <w:t>卫</w:t>
      </w:r>
      <w:r>
        <w:rPr>
          <w:rFonts w:hint="eastAsia" w:eastAsia="仿宋_GB2312"/>
          <w:sz w:val="32"/>
          <w:szCs w:val="32"/>
          <w:highlight w:val="none"/>
          <w:lang w:eastAsia="zh-CN"/>
        </w:rPr>
        <w:t>生健康支出</w:t>
      </w:r>
      <w:r>
        <w:rPr>
          <w:rFonts w:eastAsia="仿宋_GB2312"/>
          <w:sz w:val="32"/>
          <w:szCs w:val="32"/>
          <w:highlight w:val="none"/>
        </w:rPr>
        <w:t>（类）支出</w:t>
      </w:r>
      <w:r>
        <w:rPr>
          <w:rFonts w:hint="eastAsia" w:eastAsia="仿宋_GB2312"/>
          <w:sz w:val="32"/>
          <w:szCs w:val="32"/>
          <w:highlight w:val="none"/>
          <w:lang w:val="en-US" w:eastAsia="zh-CN"/>
        </w:rPr>
        <w:t>46.42</w:t>
      </w:r>
      <w:r>
        <w:rPr>
          <w:rFonts w:eastAsia="仿宋_GB2312"/>
          <w:sz w:val="32"/>
          <w:szCs w:val="32"/>
          <w:highlight w:val="none"/>
        </w:rPr>
        <w:t>万元，主要用于</w:t>
      </w:r>
      <w:r>
        <w:rPr>
          <w:rFonts w:hint="eastAsia" w:ascii="仿宋_GB2312" w:eastAsia="仿宋_GB2312"/>
          <w:sz w:val="32"/>
          <w:szCs w:val="32"/>
        </w:rPr>
        <w:t>单位</w:t>
      </w:r>
      <w:r>
        <w:rPr>
          <w:rFonts w:hint="eastAsia" w:ascii="仿宋_GB2312" w:eastAsia="仿宋_GB2312"/>
          <w:sz w:val="32"/>
          <w:szCs w:val="32"/>
          <w:lang w:val="en-US" w:eastAsia="zh-CN"/>
        </w:rPr>
        <w:t>职工基本医疗保险、公务员医疗补助、大额医保支出</w:t>
      </w:r>
      <w:r>
        <w:rPr>
          <w:rFonts w:eastAsia="仿宋_GB2312"/>
          <w:sz w:val="32"/>
          <w:szCs w:val="32"/>
          <w:highlight w:val="none"/>
        </w:rPr>
        <w:t>。与上年相比增加</w:t>
      </w:r>
      <w:r>
        <w:rPr>
          <w:rFonts w:hint="eastAsia" w:eastAsia="仿宋_GB2312"/>
          <w:sz w:val="32"/>
          <w:szCs w:val="32"/>
          <w:highlight w:val="none"/>
          <w:lang w:val="en-US" w:eastAsia="zh-CN"/>
        </w:rPr>
        <w:t>5.29</w:t>
      </w:r>
      <w:r>
        <w:rPr>
          <w:rFonts w:eastAsia="仿宋_GB2312"/>
          <w:sz w:val="32"/>
          <w:szCs w:val="32"/>
          <w:highlight w:val="none"/>
        </w:rPr>
        <w:t>万元，增长</w:t>
      </w:r>
      <w:r>
        <w:rPr>
          <w:rFonts w:hint="eastAsia" w:eastAsia="仿宋_GB2312"/>
          <w:sz w:val="32"/>
          <w:szCs w:val="32"/>
          <w:highlight w:val="none"/>
          <w:lang w:val="en-US" w:eastAsia="zh-CN"/>
        </w:rPr>
        <w:t>12.86</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5人，在编人数比去年增加，因此职工医疗保险及公务员医疗补助有所增加</w:t>
      </w:r>
      <w:r>
        <w:rPr>
          <w:rFonts w:eastAsia="仿宋_GB2312"/>
          <w:sz w:val="32"/>
          <w:szCs w:val="32"/>
          <w:highlight w:val="none"/>
        </w:rPr>
        <w:t>。</w:t>
      </w:r>
    </w:p>
    <w:p>
      <w:pPr>
        <w:pStyle w:val="11"/>
        <w:tabs>
          <w:tab w:val="left" w:pos="1389"/>
          <w:tab w:val="left" w:pos="4911"/>
          <w:tab w:val="left" w:pos="5898"/>
        </w:tabs>
        <w:spacing w:after="0" w:line="600" w:lineRule="exact"/>
        <w:ind w:firstLine="640" w:firstLineChars="200"/>
        <w:rPr>
          <w:rFonts w:eastAsia="仿宋_GB2312"/>
          <w:sz w:val="32"/>
          <w:szCs w:val="32"/>
          <w:highlight w:val="none"/>
        </w:rPr>
      </w:pPr>
      <w:r>
        <w:rPr>
          <w:rFonts w:hint="eastAsia" w:eastAsia="仿宋_GB2312"/>
          <w:sz w:val="32"/>
          <w:szCs w:val="32"/>
          <w:highlight w:val="none"/>
          <w:lang w:val="en-US" w:eastAsia="zh-CN"/>
        </w:rPr>
        <w:t>（3）</w:t>
      </w:r>
      <w:r>
        <w:rPr>
          <w:rFonts w:hint="eastAsia" w:eastAsia="仿宋_GB2312"/>
          <w:sz w:val="32"/>
          <w:szCs w:val="32"/>
          <w:highlight w:val="none"/>
          <w:lang w:eastAsia="zh-CN"/>
        </w:rPr>
        <w:t>城乡社区支出</w:t>
      </w:r>
      <w:r>
        <w:rPr>
          <w:rFonts w:eastAsia="仿宋_GB2312"/>
          <w:sz w:val="32"/>
          <w:szCs w:val="32"/>
          <w:highlight w:val="none"/>
        </w:rPr>
        <w:t>（类）支出</w:t>
      </w:r>
      <w:r>
        <w:rPr>
          <w:rFonts w:hint="eastAsia" w:eastAsia="仿宋_GB2312"/>
          <w:sz w:val="32"/>
          <w:szCs w:val="32"/>
          <w:highlight w:val="none"/>
          <w:lang w:val="en-US" w:eastAsia="zh-CN"/>
        </w:rPr>
        <w:t>567.12</w:t>
      </w:r>
      <w:r>
        <w:rPr>
          <w:rFonts w:eastAsia="仿宋_GB2312"/>
          <w:sz w:val="32"/>
          <w:szCs w:val="32"/>
          <w:highlight w:val="none"/>
        </w:rPr>
        <w:t>万元，主要用于</w:t>
      </w:r>
      <w:r>
        <w:rPr>
          <w:rFonts w:hint="eastAsia" w:ascii="仿宋_GB2312" w:eastAsia="仿宋_GB2312"/>
          <w:sz w:val="32"/>
          <w:szCs w:val="32"/>
        </w:rPr>
        <w:t>单位</w:t>
      </w:r>
      <w:r>
        <w:rPr>
          <w:rFonts w:hint="eastAsia" w:ascii="仿宋_GB2312" w:eastAsia="仿宋_GB2312"/>
          <w:sz w:val="32"/>
          <w:szCs w:val="32"/>
          <w:lang w:val="en-US" w:eastAsia="zh-CN"/>
        </w:rPr>
        <w:t>人员经费、遗属生活补贴、取暖补贴、保障单位运行及公用经费支出。</w:t>
      </w:r>
      <w:r>
        <w:rPr>
          <w:rFonts w:eastAsia="仿宋_GB2312"/>
          <w:sz w:val="32"/>
          <w:szCs w:val="32"/>
          <w:highlight w:val="none"/>
        </w:rPr>
        <w:t>与上年相比增加</w:t>
      </w:r>
      <w:r>
        <w:rPr>
          <w:rFonts w:hint="eastAsia" w:eastAsia="仿宋_GB2312"/>
          <w:sz w:val="32"/>
          <w:szCs w:val="32"/>
          <w:highlight w:val="none"/>
          <w:lang w:val="en-US" w:eastAsia="zh-CN"/>
        </w:rPr>
        <w:t>61.01</w:t>
      </w:r>
      <w:r>
        <w:rPr>
          <w:rFonts w:eastAsia="仿宋_GB2312"/>
          <w:sz w:val="32"/>
          <w:szCs w:val="32"/>
          <w:highlight w:val="none"/>
        </w:rPr>
        <w:t>万元，增长</w:t>
      </w:r>
      <w:r>
        <w:rPr>
          <w:rFonts w:hint="eastAsia" w:eastAsia="仿宋_GB2312"/>
          <w:sz w:val="32"/>
          <w:szCs w:val="32"/>
          <w:highlight w:val="none"/>
          <w:lang w:val="en-US" w:eastAsia="zh-CN"/>
        </w:rPr>
        <w:t>12.05</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5人，在编人数比去年增加，因此工资等有所增加</w:t>
      </w:r>
      <w:r>
        <w:rPr>
          <w:rFonts w:eastAsia="仿宋_GB2312"/>
          <w:sz w:val="32"/>
          <w:szCs w:val="32"/>
          <w:highlight w:val="none"/>
        </w:rPr>
        <w:t>。</w:t>
      </w:r>
    </w:p>
    <w:p>
      <w:pPr>
        <w:pStyle w:val="11"/>
        <w:tabs>
          <w:tab w:val="left" w:pos="1389"/>
          <w:tab w:val="left" w:pos="4911"/>
          <w:tab w:val="left" w:pos="5898"/>
        </w:tabs>
        <w:spacing w:after="0" w:line="600" w:lineRule="exact"/>
        <w:ind w:firstLine="640" w:firstLineChars="200"/>
        <w:rPr>
          <w:rFonts w:hint="default" w:eastAsia="仿宋_GB2312"/>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4</w:t>
      </w:r>
      <w:r>
        <w:rPr>
          <w:rFonts w:hint="eastAsia" w:eastAsia="仿宋_GB2312"/>
          <w:sz w:val="32"/>
          <w:szCs w:val="32"/>
          <w:highlight w:val="none"/>
          <w:lang w:eastAsia="zh-CN"/>
        </w:rPr>
        <w:t>）住房保障</w:t>
      </w:r>
      <w:r>
        <w:rPr>
          <w:rFonts w:eastAsia="仿宋_GB2312"/>
          <w:sz w:val="32"/>
          <w:szCs w:val="32"/>
          <w:highlight w:val="none"/>
        </w:rPr>
        <w:t>（类）支出</w:t>
      </w:r>
      <w:r>
        <w:rPr>
          <w:rFonts w:hint="eastAsia" w:eastAsia="仿宋_GB2312"/>
          <w:sz w:val="32"/>
          <w:szCs w:val="32"/>
          <w:highlight w:val="none"/>
          <w:lang w:val="en-US" w:eastAsia="zh-CN"/>
        </w:rPr>
        <w:t>60.97</w:t>
      </w:r>
      <w:r>
        <w:rPr>
          <w:rFonts w:eastAsia="仿宋_GB2312"/>
          <w:sz w:val="32"/>
          <w:szCs w:val="32"/>
          <w:highlight w:val="none"/>
        </w:rPr>
        <w:t>万元，主要用于</w:t>
      </w:r>
      <w:r>
        <w:rPr>
          <w:rFonts w:hint="eastAsia" w:ascii="仿宋_GB2312" w:eastAsia="仿宋_GB2312"/>
          <w:sz w:val="32"/>
          <w:szCs w:val="32"/>
        </w:rPr>
        <w:t>单位</w:t>
      </w:r>
      <w:r>
        <w:rPr>
          <w:rFonts w:hint="eastAsia" w:ascii="仿宋_GB2312" w:eastAsia="仿宋_GB2312"/>
          <w:sz w:val="32"/>
          <w:szCs w:val="32"/>
          <w:lang w:eastAsia="zh-CN"/>
        </w:rPr>
        <w:t>职工</w:t>
      </w:r>
      <w:r>
        <w:rPr>
          <w:rFonts w:hint="eastAsia" w:ascii="仿宋_GB2312" w:eastAsia="仿宋_GB2312"/>
          <w:sz w:val="32"/>
          <w:szCs w:val="32"/>
          <w:lang w:val="en-US" w:eastAsia="zh-CN"/>
        </w:rPr>
        <w:t>住房公积金缴纳</w:t>
      </w:r>
      <w:r>
        <w:rPr>
          <w:rFonts w:eastAsia="仿宋_GB2312"/>
          <w:sz w:val="32"/>
          <w:szCs w:val="32"/>
          <w:highlight w:val="none"/>
        </w:rPr>
        <w:t>。与上年相比增加</w:t>
      </w:r>
      <w:r>
        <w:rPr>
          <w:rFonts w:hint="eastAsia" w:eastAsia="仿宋_GB2312"/>
          <w:sz w:val="32"/>
          <w:szCs w:val="32"/>
          <w:highlight w:val="none"/>
          <w:lang w:val="en-US" w:eastAsia="zh-CN"/>
        </w:rPr>
        <w:t>6.9</w:t>
      </w:r>
      <w:r>
        <w:rPr>
          <w:rFonts w:eastAsia="仿宋_GB2312"/>
          <w:sz w:val="32"/>
          <w:szCs w:val="32"/>
          <w:highlight w:val="none"/>
        </w:rPr>
        <w:t>万元，增长</w:t>
      </w:r>
      <w:r>
        <w:rPr>
          <w:rFonts w:hint="eastAsia" w:eastAsia="仿宋_GB2312"/>
          <w:sz w:val="32"/>
          <w:szCs w:val="32"/>
          <w:highlight w:val="none"/>
          <w:lang w:val="en-US" w:eastAsia="zh-CN"/>
        </w:rPr>
        <w:t>12.76</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5人，在编人数比去年增加，因此公积金有所增加</w:t>
      </w:r>
      <w:r>
        <w:rPr>
          <w:rFonts w:eastAsia="仿宋_GB2312"/>
          <w:sz w:val="32"/>
          <w:szCs w:val="32"/>
          <w:highlight w:val="none"/>
        </w:rPr>
        <w:t>。</w:t>
      </w:r>
    </w:p>
    <w:p>
      <w:pPr>
        <w:pStyle w:val="11"/>
        <w:tabs>
          <w:tab w:val="left" w:pos="4112"/>
        </w:tabs>
        <w:spacing w:after="0" w:line="600" w:lineRule="exact"/>
        <w:ind w:firstLine="640" w:firstLineChars="200"/>
        <w:rPr>
          <w:rFonts w:eastAsia="仿宋_GB2312"/>
          <w:sz w:val="32"/>
          <w:szCs w:val="32"/>
        </w:rPr>
      </w:pPr>
      <w:r>
        <w:rPr>
          <w:rFonts w:eastAsia="仿宋_GB2312"/>
          <w:sz w:val="32"/>
          <w:szCs w:val="32"/>
        </w:rPr>
        <w:t>2．年终结转结余</w:t>
      </w:r>
      <w:r>
        <w:rPr>
          <w:rFonts w:hint="eastAsia" w:eastAsia="仿宋_GB2312"/>
          <w:sz w:val="32"/>
          <w:szCs w:val="32"/>
          <w:lang w:val="en-US" w:eastAsia="zh-CN"/>
        </w:rPr>
        <w:t>0</w:t>
      </w:r>
      <w:r>
        <w:rPr>
          <w:rFonts w:eastAsia="仿宋_GB2312"/>
          <w:sz w:val="32"/>
          <w:szCs w:val="32"/>
        </w:rPr>
        <w:t>万元，主要原因是</w:t>
      </w:r>
      <w:r>
        <w:rPr>
          <w:rFonts w:hint="eastAsia" w:ascii="仿宋_GB2312" w:hAnsi="仿宋_GB2312" w:eastAsia="仿宋_GB2312"/>
          <w:sz w:val="32"/>
          <w:szCs w:val="32"/>
          <w:highlight w:val="none"/>
          <w:lang w:eastAsia="zh-CN"/>
        </w:rPr>
        <w:t>我单位无年终结转结余</w:t>
      </w:r>
      <w:r>
        <w:rPr>
          <w:rFonts w:eastAsia="仿宋_GB2312"/>
          <w:sz w:val="32"/>
          <w:szCs w:val="32"/>
        </w:rPr>
        <w:t>。</w:t>
      </w:r>
    </w:p>
    <w:p>
      <w:pPr>
        <w:spacing w:line="600" w:lineRule="exact"/>
        <w:ind w:firstLine="640" w:firstLineChars="200"/>
        <w:outlineLvl w:val="2"/>
        <w:rPr>
          <w:rFonts w:eastAsia="黑体" w:cs="黑体"/>
          <w:sz w:val="32"/>
          <w:szCs w:val="36"/>
        </w:rPr>
      </w:pPr>
      <w:r>
        <w:rPr>
          <w:rFonts w:hint="eastAsia" w:eastAsia="黑体" w:cs="黑体"/>
          <w:sz w:val="32"/>
          <w:szCs w:val="36"/>
        </w:rPr>
        <w:t>二、收入预算情况说明</w:t>
      </w:r>
    </w:p>
    <w:p>
      <w:pPr>
        <w:pStyle w:val="11"/>
        <w:tabs>
          <w:tab w:val="left" w:pos="2671"/>
          <w:tab w:val="left" w:pos="5000"/>
          <w:tab w:val="left" w:pos="6190"/>
        </w:tabs>
        <w:spacing w:after="0" w:line="600" w:lineRule="exact"/>
        <w:ind w:firstLine="640" w:firstLineChars="200"/>
        <w:rPr>
          <w:rFonts w:eastAsia="仿宋_GB2312"/>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hint="eastAsia" w:ascii="仿宋_GB2312" w:hAnsi="仿宋_GB2312" w:eastAsia="仿宋_GB2312" w:cs="仿宋_GB2312"/>
          <w:sz w:val="32"/>
          <w:szCs w:val="32"/>
        </w:rPr>
        <w:t>年度</w:t>
      </w:r>
      <w:r>
        <w:rPr>
          <w:rFonts w:eastAsia="仿宋_GB2312"/>
          <w:sz w:val="32"/>
          <w:szCs w:val="32"/>
        </w:rPr>
        <w:t>收入预算</w:t>
      </w:r>
      <w:r>
        <w:rPr>
          <w:rFonts w:hint="eastAsia" w:eastAsia="仿宋_GB2312"/>
          <w:sz w:val="32"/>
          <w:szCs w:val="32"/>
        </w:rPr>
        <w:t>总</w:t>
      </w:r>
      <w:r>
        <w:rPr>
          <w:rFonts w:eastAsia="仿宋_GB2312"/>
          <w:sz w:val="32"/>
          <w:szCs w:val="32"/>
        </w:rPr>
        <w:t>计</w:t>
      </w:r>
      <w:r>
        <w:rPr>
          <w:rFonts w:hint="eastAsia" w:eastAsia="仿宋_GB2312"/>
          <w:sz w:val="32"/>
          <w:szCs w:val="32"/>
          <w:lang w:val="en-US" w:eastAsia="zh-CN"/>
        </w:rPr>
        <w:t>762.98</w:t>
      </w:r>
      <w:r>
        <w:rPr>
          <w:rFonts w:eastAsia="仿宋_GB2312"/>
          <w:sz w:val="32"/>
          <w:szCs w:val="32"/>
        </w:rPr>
        <w:t>万元，包括本年收入</w:t>
      </w:r>
      <w:r>
        <w:rPr>
          <w:rFonts w:hint="eastAsia" w:eastAsia="仿宋_GB2312"/>
          <w:sz w:val="32"/>
          <w:szCs w:val="32"/>
          <w:lang w:val="en-US" w:eastAsia="zh-CN"/>
        </w:rPr>
        <w:t>762.98</w:t>
      </w:r>
      <w:r>
        <w:rPr>
          <w:rFonts w:eastAsia="仿宋_GB2312"/>
          <w:sz w:val="32"/>
          <w:szCs w:val="32"/>
        </w:rPr>
        <w:t>万元，上年结转结余</w:t>
      </w:r>
      <w:r>
        <w:rPr>
          <w:rFonts w:hint="eastAsia" w:eastAsia="仿宋_GB2312"/>
          <w:sz w:val="32"/>
          <w:szCs w:val="32"/>
          <w:lang w:val="en-US" w:eastAsia="zh-CN"/>
        </w:rPr>
        <w:t>0</w:t>
      </w:r>
      <w:r>
        <w:rPr>
          <w:rFonts w:eastAsia="仿宋_GB2312"/>
          <w:sz w:val="32"/>
          <w:szCs w:val="32"/>
        </w:rPr>
        <w:t>万元。其中：</w:t>
      </w:r>
    </w:p>
    <w:p>
      <w:pPr>
        <w:pStyle w:val="11"/>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本年一般公共预算收入</w:t>
      </w:r>
      <w:r>
        <w:rPr>
          <w:rFonts w:hint="eastAsia" w:eastAsia="仿宋_GB2312"/>
          <w:sz w:val="32"/>
          <w:szCs w:val="32"/>
          <w:lang w:val="en-US" w:eastAsia="zh-CN"/>
        </w:rPr>
        <w:t>762.98</w:t>
      </w:r>
      <w:r>
        <w:rPr>
          <w:rFonts w:eastAsia="仿宋_GB2312"/>
          <w:sz w:val="32"/>
          <w:szCs w:val="32"/>
        </w:rPr>
        <w:t>万元，占</w:t>
      </w:r>
      <w:r>
        <w:rPr>
          <w:rFonts w:hint="eastAsia" w:eastAsia="仿宋_GB2312"/>
          <w:sz w:val="32"/>
          <w:szCs w:val="32"/>
          <w:lang w:val="en-US" w:eastAsia="zh-CN"/>
        </w:rPr>
        <w:t>100</w:t>
      </w:r>
      <w:r>
        <w:rPr>
          <w:rFonts w:hint="eastAsia" w:ascii="仿宋_GB2312" w:hAnsi="仿宋_GB2312" w:eastAsia="仿宋_GB2312"/>
          <w:sz w:val="32"/>
          <w:szCs w:val="32"/>
        </w:rPr>
        <w:t>%</w:t>
      </w:r>
      <w:r>
        <w:rPr>
          <w:rFonts w:eastAsia="仿宋_GB2312"/>
          <w:sz w:val="32"/>
          <w:szCs w:val="32"/>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本年政府性基金预算收入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本年国有资本经营预算收入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本年财政专户管理资金</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本年事业收入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本年事业单位经营收入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本年上级补助收入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本年附属单位上缴收入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本年其他收入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上年结转结余的一般公共预算收入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上年结转结余的政府性基金预算收入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上年结转结余的国有资本经营预算收入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上年结转结余的财政专户管理资金</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hint="eastAsia" w:eastAsia="仿宋_GB2312"/>
          <w:sz w:val="32"/>
          <w:szCs w:val="32"/>
          <w:highlight w:val="none"/>
          <w:lang w:eastAsia="zh-CN"/>
        </w:rPr>
      </w:pPr>
      <w:r>
        <w:rPr>
          <w:rFonts w:eastAsia="仿宋_GB2312"/>
          <w:sz w:val="32"/>
          <w:szCs w:val="32"/>
          <w:highlight w:val="none"/>
        </w:rPr>
        <w:t>上年结转结余的单位资金</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hint="eastAsia" w:eastAsia="仿宋_GB2312"/>
          <w:sz w:val="32"/>
          <w:szCs w:val="32"/>
          <w:highlight w:val="none"/>
          <w:lang w:eastAsia="zh-CN"/>
        </w:rPr>
        <w:t>。</w:t>
      </w:r>
    </w:p>
    <w:p>
      <w:pPr>
        <w:pStyle w:val="2"/>
        <w:tabs>
          <w:tab w:val="left" w:pos="0"/>
        </w:tabs>
        <w:ind w:left="0" w:leftChars="0" w:firstLine="0"/>
        <w:jc w:val="center"/>
        <w:rPr>
          <w:rFonts w:hint="default" w:eastAsia="仿宋_GB2312"/>
          <w:sz w:val="32"/>
          <w:szCs w:val="32"/>
        </w:rPr>
      </w:pPr>
    </w:p>
    <w:p>
      <w:pPr>
        <w:pStyle w:val="2"/>
        <w:tabs>
          <w:tab w:val="left" w:pos="0"/>
        </w:tabs>
        <w:ind w:left="0" w:leftChars="0" w:firstLine="0"/>
        <w:jc w:val="center"/>
        <w:rPr>
          <w:rFonts w:hint="default" w:ascii="Times New Roman" w:hAnsi="Times New Roman" w:eastAsia="仿宋_GB2312" w:cs="仿宋"/>
          <w:sz w:val="32"/>
          <w:szCs w:val="32"/>
        </w:rPr>
      </w:pPr>
      <w:r>
        <w:rPr>
          <w:rFonts w:eastAsia="仿宋_GB2312"/>
          <w:sz w:val="32"/>
          <w:szCs w:val="32"/>
        </w:rPr>
        <w:t>图1.收入预算图</w:t>
      </w:r>
    </w:p>
    <w:p>
      <w:pPr>
        <w:pStyle w:val="2"/>
        <w:tabs>
          <w:tab w:val="left" w:pos="0"/>
        </w:tabs>
        <w:ind w:left="0" w:leftChars="0" w:firstLine="0"/>
        <w:jc w:val="center"/>
        <w:rPr>
          <w:rFonts w:hint="default" w:ascii="Times New Roman" w:hAnsi="Times New Roman" w:eastAsia="仿宋_GB2312" w:cs="仿宋"/>
          <w:sz w:val="32"/>
          <w:szCs w:val="32"/>
        </w:rPr>
      </w:pPr>
      <w:r>
        <w:drawing>
          <wp:inline distT="0" distB="0" distL="114300" distR="114300">
            <wp:extent cx="4137025" cy="2605405"/>
            <wp:effectExtent l="0" t="0" r="1587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137025" cy="2605405"/>
                    </a:xfrm>
                    <a:prstGeom prst="rect">
                      <a:avLst/>
                    </a:prstGeom>
                    <a:noFill/>
                    <a:ln w="9525">
                      <a:noFill/>
                    </a:ln>
                  </pic:spPr>
                </pic:pic>
              </a:graphicData>
            </a:graphic>
          </wp:inline>
        </w:drawing>
      </w:r>
    </w:p>
    <w:p>
      <w:pPr>
        <w:spacing w:line="600" w:lineRule="exact"/>
        <w:ind w:firstLine="640" w:firstLineChars="200"/>
        <w:outlineLvl w:val="2"/>
        <w:rPr>
          <w:rFonts w:eastAsia="黑体" w:cs="黑体"/>
          <w:sz w:val="32"/>
          <w:szCs w:val="36"/>
        </w:rPr>
      </w:pPr>
      <w:r>
        <w:rPr>
          <w:rFonts w:hint="eastAsia" w:eastAsia="黑体" w:cs="黑体"/>
          <w:sz w:val="32"/>
          <w:szCs w:val="36"/>
        </w:rPr>
        <w:t>三、支出预算情况说明</w:t>
      </w:r>
    </w:p>
    <w:p>
      <w:pPr>
        <w:pStyle w:val="11"/>
        <w:tabs>
          <w:tab w:val="left" w:pos="2671"/>
          <w:tab w:val="left" w:pos="5000"/>
          <w:tab w:val="left" w:pos="6190"/>
        </w:tabs>
        <w:spacing w:after="0" w:line="600" w:lineRule="exact"/>
        <w:ind w:firstLine="640" w:firstLineChars="200"/>
        <w:rPr>
          <w:rFonts w:eastAsia="仿宋_GB2312"/>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hint="eastAsia" w:ascii="仿宋_GB2312" w:hAnsi="仿宋_GB2312" w:eastAsia="仿宋_GB2312" w:cs="仿宋_GB2312"/>
          <w:sz w:val="32"/>
          <w:szCs w:val="32"/>
        </w:rPr>
        <w:t>年度</w:t>
      </w:r>
      <w:r>
        <w:rPr>
          <w:rFonts w:eastAsia="仿宋_GB2312"/>
          <w:sz w:val="32"/>
          <w:szCs w:val="32"/>
        </w:rPr>
        <w:t>支出预算合计</w:t>
      </w:r>
      <w:r>
        <w:rPr>
          <w:rFonts w:eastAsia="仿宋_GB2312"/>
          <w:sz w:val="32"/>
          <w:szCs w:val="32"/>
          <w:u w:val="single"/>
        </w:rPr>
        <w:t xml:space="preserve">     </w:t>
      </w:r>
      <w:r>
        <w:rPr>
          <w:rFonts w:hint="eastAsia" w:eastAsia="仿宋_GB2312"/>
          <w:sz w:val="32"/>
          <w:szCs w:val="32"/>
          <w:u w:val="none"/>
          <w:lang w:val="en-US" w:eastAsia="zh-CN"/>
        </w:rPr>
        <w:t>762.98</w:t>
      </w:r>
      <w:r>
        <w:rPr>
          <w:rFonts w:eastAsia="仿宋_GB2312"/>
          <w:sz w:val="32"/>
          <w:szCs w:val="32"/>
        </w:rPr>
        <w:t>万元，其中</w:t>
      </w:r>
      <w:r>
        <w:rPr>
          <w:rFonts w:hint="eastAsia" w:eastAsia="仿宋_GB2312"/>
          <w:sz w:val="32"/>
          <w:szCs w:val="32"/>
        </w:rPr>
        <w:t>：</w:t>
      </w:r>
    </w:p>
    <w:p>
      <w:pPr>
        <w:pStyle w:val="11"/>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基本支出</w:t>
      </w:r>
      <w:r>
        <w:rPr>
          <w:rFonts w:hint="eastAsia" w:eastAsia="仿宋_GB2312"/>
          <w:sz w:val="32"/>
          <w:szCs w:val="32"/>
          <w:lang w:val="en-US" w:eastAsia="zh-CN"/>
        </w:rPr>
        <w:t>752.98</w:t>
      </w:r>
      <w:r>
        <w:rPr>
          <w:rFonts w:eastAsia="仿宋_GB2312"/>
          <w:sz w:val="32"/>
          <w:szCs w:val="32"/>
        </w:rPr>
        <w:t>万元，占</w:t>
      </w:r>
      <w:r>
        <w:rPr>
          <w:rFonts w:hint="eastAsia" w:eastAsia="仿宋_GB2312"/>
          <w:sz w:val="32"/>
          <w:szCs w:val="32"/>
          <w:lang w:val="en-US" w:eastAsia="zh-CN"/>
        </w:rPr>
        <w:t>98</w:t>
      </w:r>
      <w:r>
        <w:rPr>
          <w:rFonts w:hint="eastAsia" w:ascii="仿宋_GB2312" w:hAnsi="仿宋_GB2312" w:eastAsia="仿宋_GB2312"/>
          <w:sz w:val="32"/>
          <w:szCs w:val="32"/>
        </w:rPr>
        <w:t>%</w:t>
      </w:r>
      <w:r>
        <w:rPr>
          <w:rFonts w:hint="eastAsia" w:eastAsia="仿宋_GB2312"/>
          <w:sz w:val="32"/>
          <w:szCs w:val="32"/>
        </w:rPr>
        <w:t>；</w:t>
      </w:r>
    </w:p>
    <w:p>
      <w:pPr>
        <w:pStyle w:val="11"/>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项目支出</w:t>
      </w:r>
      <w:r>
        <w:rPr>
          <w:rFonts w:hint="eastAsia" w:eastAsia="仿宋_GB2312"/>
          <w:sz w:val="32"/>
          <w:szCs w:val="32"/>
          <w:lang w:val="en-US" w:eastAsia="zh-CN"/>
        </w:rPr>
        <w:t>10</w:t>
      </w:r>
      <w:r>
        <w:rPr>
          <w:rFonts w:eastAsia="仿宋_GB2312"/>
          <w:sz w:val="32"/>
          <w:szCs w:val="32"/>
        </w:rPr>
        <w:t>万元，占</w:t>
      </w:r>
      <w:r>
        <w:rPr>
          <w:rFonts w:hint="eastAsia" w:eastAsia="仿宋_GB2312"/>
          <w:sz w:val="32"/>
          <w:szCs w:val="32"/>
          <w:lang w:val="en-US" w:eastAsia="zh-CN"/>
        </w:rPr>
        <w:t>2</w:t>
      </w:r>
      <w:r>
        <w:rPr>
          <w:rFonts w:hint="eastAsia" w:ascii="仿宋_GB2312" w:hAnsi="仿宋_GB2312" w:eastAsia="仿宋_GB2312"/>
          <w:sz w:val="32"/>
          <w:szCs w:val="32"/>
        </w:rPr>
        <w:t>%</w:t>
      </w:r>
      <w:r>
        <w:rPr>
          <w:rFonts w:eastAsia="仿宋_GB2312"/>
          <w:sz w:val="32"/>
          <w:szCs w:val="32"/>
        </w:rPr>
        <w:t>；</w:t>
      </w:r>
    </w:p>
    <w:p>
      <w:pPr>
        <w:pStyle w:val="11"/>
        <w:tabs>
          <w:tab w:val="left" w:pos="2671"/>
          <w:tab w:val="left" w:pos="5000"/>
          <w:tab w:val="left" w:pos="6190"/>
        </w:tabs>
        <w:spacing w:after="0" w:line="600" w:lineRule="exact"/>
        <w:ind w:firstLine="640" w:firstLineChars="200"/>
        <w:rPr>
          <w:rFonts w:ascii="Times New Roman" w:hAnsi="Times New Roman" w:eastAsia="仿宋_GB2312" w:cs="仿宋"/>
          <w:sz w:val="32"/>
          <w:szCs w:val="32"/>
          <w:highlight w:val="none"/>
        </w:rPr>
      </w:pPr>
      <w:r>
        <w:rPr>
          <w:rFonts w:eastAsia="仿宋_GB2312"/>
          <w:sz w:val="32"/>
          <w:szCs w:val="32"/>
          <w:highlight w:val="none"/>
        </w:rPr>
        <w:t>事业单位经营支出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上缴上级支出</w:t>
      </w:r>
      <w:r>
        <w:rPr>
          <w:rFonts w:eastAsia="仿宋_GB2312"/>
          <w:sz w:val="32"/>
          <w:szCs w:val="32"/>
          <w:highlight w:val="none"/>
        </w:rPr>
        <w:tab/>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11"/>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highlight w:val="none"/>
        </w:rPr>
        <w:t>对附属单位补助支出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2"/>
        <w:ind w:left="0" w:leftChars="0" w:firstLine="220"/>
        <w:jc w:val="center"/>
        <w:rPr>
          <w:rFonts w:hint="default" w:eastAsia="仿宋_GB2312"/>
          <w:sz w:val="32"/>
          <w:szCs w:val="32"/>
        </w:rPr>
      </w:pPr>
    </w:p>
    <w:p>
      <w:pPr>
        <w:pStyle w:val="2"/>
        <w:ind w:left="0" w:leftChars="0" w:firstLine="220"/>
        <w:jc w:val="center"/>
        <w:rPr>
          <w:rFonts w:eastAsia="仿宋_GB2312" w:cs="仿宋"/>
          <w:sz w:val="32"/>
          <w:szCs w:val="32"/>
        </w:rPr>
      </w:pPr>
      <w:r>
        <w:rPr>
          <w:rFonts w:eastAsia="仿宋_GB2312"/>
          <w:sz w:val="32"/>
          <w:szCs w:val="32"/>
        </w:rPr>
        <w:t>图2.支出预算图</w:t>
      </w:r>
    </w:p>
    <w:p>
      <w:pPr>
        <w:pStyle w:val="12"/>
        <w:rPr>
          <w:rFonts w:eastAsia="仿宋_GB2312" w:cs="仿宋"/>
          <w:sz w:val="32"/>
          <w:szCs w:val="32"/>
        </w:rPr>
      </w:pPr>
      <w:r>
        <w:drawing>
          <wp:inline distT="0" distB="0" distL="114300" distR="114300">
            <wp:extent cx="5391785" cy="2562225"/>
            <wp:effectExtent l="4445" t="4445" r="13970" b="508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spacing w:line="600" w:lineRule="exact"/>
        <w:ind w:left="6" w:firstLine="633" w:firstLineChars="198"/>
        <w:outlineLvl w:val="2"/>
        <w:rPr>
          <w:rFonts w:eastAsia="黑体" w:cs="黑体"/>
          <w:sz w:val="32"/>
          <w:szCs w:val="36"/>
        </w:rPr>
      </w:pPr>
      <w:r>
        <w:rPr>
          <w:rFonts w:hint="eastAsia" w:eastAsia="黑体" w:cs="黑体"/>
          <w:sz w:val="32"/>
          <w:szCs w:val="36"/>
        </w:rPr>
        <w:t>四、财政拨款收支预算总体情况说明</w:t>
      </w:r>
    </w:p>
    <w:p>
      <w:pPr>
        <w:pStyle w:val="11"/>
        <w:tabs>
          <w:tab w:val="left" w:pos="1389"/>
          <w:tab w:val="left" w:pos="4911"/>
          <w:tab w:val="left" w:pos="5898"/>
        </w:tabs>
        <w:spacing w:after="0" w:line="600" w:lineRule="exact"/>
        <w:ind w:firstLine="640" w:firstLineChars="200"/>
        <w:rPr>
          <w:rFonts w:eastAsia="仿宋_GB2312" w:cs="仿宋"/>
          <w:color w:val="auto"/>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eastAsia="仿宋_GB2312"/>
          <w:sz w:val="32"/>
          <w:szCs w:val="32"/>
        </w:rPr>
        <w:t>年度财政拨款收、支总预算</w:t>
      </w:r>
      <w:r>
        <w:rPr>
          <w:rFonts w:hint="eastAsia" w:eastAsia="仿宋_GB2312"/>
          <w:sz w:val="32"/>
          <w:szCs w:val="32"/>
          <w:lang w:val="en-US" w:eastAsia="zh-CN"/>
        </w:rPr>
        <w:t>762.98</w:t>
      </w:r>
      <w:r>
        <w:rPr>
          <w:rFonts w:eastAsia="仿宋_GB2312"/>
          <w:sz w:val="32"/>
          <w:szCs w:val="32"/>
        </w:rPr>
        <w:t>万元。与上年相比，财政拨款收、支总计各</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68.81</w:t>
      </w:r>
      <w:r>
        <w:rPr>
          <w:rFonts w:hint="eastAsia" w:ascii="仿宋_GB2312" w:hAnsi="仿宋_GB2312" w:eastAsia="仿宋_GB2312" w:cs="仿宋_GB2312"/>
          <w:sz w:val="32"/>
          <w:szCs w:val="32"/>
        </w:rPr>
        <w:t>万元，</w:t>
      </w:r>
      <w:r>
        <w:rPr>
          <w:rFonts w:hint="eastAsia" w:eastAsia="仿宋_GB2312"/>
          <w:sz w:val="32"/>
          <w:szCs w:val="32"/>
          <w:highlight w:val="none"/>
          <w:lang w:eastAsia="zh-CN"/>
        </w:rPr>
        <w:t>增长</w:t>
      </w:r>
      <w:r>
        <w:rPr>
          <w:rFonts w:hint="eastAsia" w:ascii="仿宋_GB2312" w:hAnsi="仿宋_GB2312" w:eastAsia="仿宋_GB2312" w:cs="仿宋_GB2312"/>
          <w:sz w:val="32"/>
          <w:szCs w:val="32"/>
          <w:lang w:val="en-US" w:eastAsia="zh-CN"/>
        </w:rPr>
        <w:t>9.91</w:t>
      </w:r>
      <w:r>
        <w:rPr>
          <w:rFonts w:hint="eastAsia" w:ascii="仿宋_GB2312" w:hAnsi="仿宋_GB2312" w:eastAsia="仿宋_GB2312" w:cs="仿宋_GB2312"/>
          <w:sz w:val="32"/>
          <w:szCs w:val="32"/>
        </w:rPr>
        <w:t>%</w:t>
      </w:r>
      <w:r>
        <w:rPr>
          <w:rFonts w:eastAsia="仿宋_GB2312"/>
          <w:sz w:val="32"/>
          <w:szCs w:val="32"/>
        </w:rPr>
        <w:t>。主要原因是</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5人，在编人数比去年增加，因此工资及五险一金都有所增加</w:t>
      </w:r>
      <w:r>
        <w:rPr>
          <w:rFonts w:eastAsia="仿宋_GB2312"/>
          <w:color w:val="auto"/>
          <w:sz w:val="32"/>
          <w:szCs w:val="32"/>
        </w:rPr>
        <w:t>。</w:t>
      </w:r>
    </w:p>
    <w:p>
      <w:pPr>
        <w:pStyle w:val="11"/>
        <w:tabs>
          <w:tab w:val="left" w:pos="1389"/>
          <w:tab w:val="left" w:pos="4911"/>
          <w:tab w:val="left" w:pos="5898"/>
        </w:tabs>
        <w:spacing w:after="0" w:line="600" w:lineRule="exact"/>
        <w:ind w:firstLine="640" w:firstLineChars="200"/>
        <w:rPr>
          <w:rFonts w:hint="default" w:eastAsia="仿宋_GB2312"/>
          <w:color w:val="auto"/>
          <w:sz w:val="32"/>
          <w:szCs w:val="32"/>
          <w:lang w:val="en-US"/>
        </w:rPr>
      </w:pPr>
      <w:r>
        <w:rPr>
          <w:rFonts w:eastAsia="仿宋_GB2312"/>
          <w:sz w:val="32"/>
          <w:szCs w:val="32"/>
          <w:highlight w:val="none"/>
        </w:rPr>
        <w:t>（1）</w:t>
      </w:r>
      <w:r>
        <w:rPr>
          <w:rFonts w:hint="eastAsia" w:eastAsia="仿宋_GB2312"/>
          <w:sz w:val="32"/>
          <w:szCs w:val="32"/>
          <w:highlight w:val="none"/>
          <w:lang w:eastAsia="zh-CN"/>
        </w:rPr>
        <w:t>社会保障和就业支出</w:t>
      </w:r>
      <w:r>
        <w:rPr>
          <w:rFonts w:eastAsia="仿宋_GB2312"/>
          <w:sz w:val="32"/>
          <w:szCs w:val="32"/>
          <w:highlight w:val="none"/>
        </w:rPr>
        <w:t>（类）支出</w:t>
      </w:r>
      <w:r>
        <w:rPr>
          <w:rFonts w:hint="eastAsia" w:eastAsia="仿宋_GB2312"/>
          <w:sz w:val="32"/>
          <w:szCs w:val="32"/>
          <w:highlight w:val="none"/>
          <w:u w:val="none"/>
          <w:lang w:val="en-US" w:eastAsia="zh-CN"/>
        </w:rPr>
        <w:t>88.47</w:t>
      </w:r>
      <w:r>
        <w:rPr>
          <w:rFonts w:eastAsia="仿宋_GB2312"/>
          <w:sz w:val="32"/>
          <w:szCs w:val="32"/>
          <w:highlight w:val="none"/>
        </w:rPr>
        <w:t>万元，主要用于</w:t>
      </w:r>
      <w:r>
        <w:rPr>
          <w:rFonts w:hint="eastAsia" w:ascii="仿宋_GB2312" w:eastAsia="仿宋_GB2312"/>
          <w:sz w:val="32"/>
          <w:szCs w:val="32"/>
        </w:rPr>
        <w:t>离退休人员经费</w:t>
      </w:r>
      <w:r>
        <w:rPr>
          <w:rFonts w:hint="eastAsia" w:ascii="仿宋_GB2312" w:eastAsia="仿宋_GB2312"/>
          <w:sz w:val="32"/>
          <w:szCs w:val="32"/>
          <w:lang w:val="en-US" w:eastAsia="zh-CN"/>
        </w:rPr>
        <w:t>及取暖补贴、单位职工养老保险、工伤保险、失业保险缴纳</w:t>
      </w:r>
      <w:r>
        <w:rPr>
          <w:rFonts w:eastAsia="仿宋_GB2312"/>
          <w:sz w:val="32"/>
          <w:szCs w:val="32"/>
          <w:highlight w:val="none"/>
        </w:rPr>
        <w:t>。与上年相比</w:t>
      </w:r>
      <w:r>
        <w:rPr>
          <w:rFonts w:hint="eastAsia" w:eastAsia="仿宋_GB2312"/>
          <w:sz w:val="32"/>
          <w:szCs w:val="32"/>
          <w:highlight w:val="none"/>
          <w:lang w:eastAsia="zh-CN"/>
        </w:rPr>
        <w:t>减少</w:t>
      </w:r>
      <w:r>
        <w:rPr>
          <w:rFonts w:hint="eastAsia" w:eastAsia="仿宋_GB2312"/>
          <w:sz w:val="32"/>
          <w:szCs w:val="32"/>
          <w:highlight w:val="none"/>
          <w:lang w:val="en-US" w:eastAsia="zh-CN"/>
        </w:rPr>
        <w:t>4.39</w:t>
      </w:r>
      <w:r>
        <w:rPr>
          <w:rFonts w:eastAsia="仿宋_GB2312"/>
          <w:sz w:val="32"/>
          <w:szCs w:val="32"/>
          <w:highlight w:val="none"/>
        </w:rPr>
        <w:t>万元，</w:t>
      </w:r>
      <w:r>
        <w:rPr>
          <w:rFonts w:hint="eastAsia" w:eastAsia="仿宋_GB2312"/>
          <w:sz w:val="32"/>
          <w:szCs w:val="32"/>
          <w:highlight w:val="none"/>
          <w:lang w:eastAsia="zh-CN"/>
        </w:rPr>
        <w:t>减少</w:t>
      </w:r>
      <w:r>
        <w:rPr>
          <w:rFonts w:hint="eastAsia" w:eastAsia="仿宋_GB2312"/>
          <w:sz w:val="32"/>
          <w:szCs w:val="32"/>
          <w:highlight w:val="none"/>
          <w:lang w:val="en-US" w:eastAsia="zh-CN"/>
        </w:rPr>
        <w:t>4.72</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sz w:val="32"/>
          <w:szCs w:val="32"/>
          <w:highlight w:val="none"/>
          <w:lang w:val="en-US" w:eastAsia="zh-CN"/>
        </w:rPr>
        <w:t>2025年4月开始，按照市财政要求，对单位退休人员停止发放交通补贴和通讯补贴，因此本年会减少</w:t>
      </w:r>
      <w:r>
        <w:rPr>
          <w:rFonts w:hint="eastAsia" w:eastAsia="仿宋_GB2312"/>
          <w:color w:val="auto"/>
          <w:sz w:val="32"/>
          <w:szCs w:val="32"/>
          <w:lang w:val="en-US" w:eastAsia="zh-CN"/>
        </w:rPr>
        <w:t>。</w:t>
      </w:r>
    </w:p>
    <w:p>
      <w:pPr>
        <w:pStyle w:val="11"/>
        <w:tabs>
          <w:tab w:val="left" w:pos="1389"/>
          <w:tab w:val="left" w:pos="4911"/>
          <w:tab w:val="left" w:pos="5898"/>
        </w:tabs>
        <w:spacing w:after="0" w:line="600" w:lineRule="exact"/>
        <w:ind w:firstLine="640" w:firstLineChars="200"/>
        <w:rPr>
          <w:rFonts w:eastAsia="仿宋_GB2312"/>
          <w:sz w:val="32"/>
          <w:szCs w:val="32"/>
          <w:highlight w:val="none"/>
        </w:rPr>
      </w:pPr>
      <w:r>
        <w:rPr>
          <w:rFonts w:eastAsia="仿宋_GB2312"/>
          <w:sz w:val="32"/>
          <w:szCs w:val="32"/>
          <w:highlight w:val="none"/>
        </w:rPr>
        <w:t>（2）</w:t>
      </w:r>
      <w:r>
        <w:rPr>
          <w:rFonts w:hint="eastAsia" w:eastAsia="仿宋_GB2312"/>
          <w:sz w:val="32"/>
          <w:szCs w:val="32"/>
          <w:highlight w:val="none"/>
          <w:lang w:eastAsia="zh-CN"/>
        </w:rPr>
        <w:t>卫生健康支出</w:t>
      </w:r>
      <w:r>
        <w:rPr>
          <w:rFonts w:eastAsia="仿宋_GB2312"/>
          <w:sz w:val="32"/>
          <w:szCs w:val="32"/>
          <w:highlight w:val="none"/>
        </w:rPr>
        <w:t>（类）支出</w:t>
      </w:r>
      <w:r>
        <w:rPr>
          <w:rFonts w:hint="eastAsia" w:eastAsia="仿宋_GB2312"/>
          <w:sz w:val="32"/>
          <w:szCs w:val="32"/>
          <w:highlight w:val="none"/>
          <w:lang w:val="en-US" w:eastAsia="zh-CN"/>
        </w:rPr>
        <w:t>46.42</w:t>
      </w:r>
      <w:r>
        <w:rPr>
          <w:rFonts w:eastAsia="仿宋_GB2312"/>
          <w:sz w:val="32"/>
          <w:szCs w:val="32"/>
          <w:highlight w:val="none"/>
        </w:rPr>
        <w:t>万元，主要用于</w:t>
      </w:r>
      <w:r>
        <w:rPr>
          <w:rFonts w:hint="eastAsia" w:ascii="仿宋_GB2312" w:eastAsia="仿宋_GB2312"/>
          <w:sz w:val="32"/>
          <w:szCs w:val="32"/>
        </w:rPr>
        <w:t>单位</w:t>
      </w:r>
      <w:r>
        <w:rPr>
          <w:rFonts w:hint="eastAsia" w:ascii="仿宋_GB2312" w:eastAsia="仿宋_GB2312"/>
          <w:sz w:val="32"/>
          <w:szCs w:val="32"/>
          <w:lang w:val="en-US" w:eastAsia="zh-CN"/>
        </w:rPr>
        <w:t>职工基本医疗保险、公务员医疗补助、大额医保支出</w:t>
      </w:r>
      <w:r>
        <w:rPr>
          <w:rFonts w:eastAsia="仿宋_GB2312"/>
          <w:sz w:val="32"/>
          <w:szCs w:val="32"/>
          <w:highlight w:val="none"/>
        </w:rPr>
        <w:t>。与上年相比增加</w:t>
      </w:r>
      <w:r>
        <w:rPr>
          <w:rFonts w:hint="eastAsia" w:eastAsia="仿宋_GB2312"/>
          <w:sz w:val="32"/>
          <w:szCs w:val="32"/>
          <w:highlight w:val="none"/>
          <w:lang w:val="en-US" w:eastAsia="zh-CN"/>
        </w:rPr>
        <w:t>5.29</w:t>
      </w:r>
      <w:r>
        <w:rPr>
          <w:rFonts w:eastAsia="仿宋_GB2312"/>
          <w:sz w:val="32"/>
          <w:szCs w:val="32"/>
          <w:highlight w:val="none"/>
        </w:rPr>
        <w:t>万元，增长</w:t>
      </w:r>
      <w:r>
        <w:rPr>
          <w:rFonts w:hint="eastAsia" w:eastAsia="仿宋_GB2312"/>
          <w:sz w:val="32"/>
          <w:szCs w:val="32"/>
          <w:highlight w:val="none"/>
          <w:lang w:val="en-US" w:eastAsia="zh-CN"/>
        </w:rPr>
        <w:t>12.86</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5人，人数比去年增加，因此职工医疗保险及公务员医疗补助有所增加</w:t>
      </w:r>
      <w:r>
        <w:rPr>
          <w:rFonts w:eastAsia="仿宋_GB2312"/>
          <w:sz w:val="32"/>
          <w:szCs w:val="32"/>
        </w:rPr>
        <w:t>。</w:t>
      </w:r>
    </w:p>
    <w:p>
      <w:pPr>
        <w:pStyle w:val="11"/>
        <w:tabs>
          <w:tab w:val="left" w:pos="1389"/>
          <w:tab w:val="left" w:pos="4911"/>
          <w:tab w:val="left" w:pos="5898"/>
        </w:tabs>
        <w:spacing w:after="0" w:line="600" w:lineRule="exact"/>
        <w:ind w:firstLine="640" w:firstLineChars="200"/>
        <w:rPr>
          <w:rFonts w:eastAsia="仿宋_GB2312"/>
          <w:sz w:val="32"/>
          <w:szCs w:val="32"/>
          <w:highlight w:val="none"/>
        </w:rPr>
      </w:pPr>
      <w:r>
        <w:rPr>
          <w:rFonts w:hint="eastAsia" w:eastAsia="仿宋_GB2312"/>
          <w:sz w:val="32"/>
          <w:szCs w:val="32"/>
          <w:highlight w:val="none"/>
          <w:lang w:val="en-US" w:eastAsia="zh-CN"/>
        </w:rPr>
        <w:t>（3）</w:t>
      </w:r>
      <w:r>
        <w:rPr>
          <w:rFonts w:hint="eastAsia" w:eastAsia="仿宋_GB2312"/>
          <w:sz w:val="32"/>
          <w:szCs w:val="32"/>
          <w:highlight w:val="none"/>
          <w:lang w:eastAsia="zh-CN"/>
        </w:rPr>
        <w:t>城乡社区支出</w:t>
      </w:r>
      <w:r>
        <w:rPr>
          <w:rFonts w:eastAsia="仿宋_GB2312"/>
          <w:sz w:val="32"/>
          <w:szCs w:val="32"/>
          <w:highlight w:val="none"/>
        </w:rPr>
        <w:t>（类）支出</w:t>
      </w:r>
      <w:r>
        <w:rPr>
          <w:rFonts w:hint="eastAsia" w:eastAsia="仿宋_GB2312"/>
          <w:sz w:val="32"/>
          <w:szCs w:val="32"/>
          <w:highlight w:val="none"/>
          <w:lang w:val="en-US" w:eastAsia="zh-CN"/>
        </w:rPr>
        <w:t>567.12</w:t>
      </w:r>
      <w:r>
        <w:rPr>
          <w:rFonts w:eastAsia="仿宋_GB2312"/>
          <w:sz w:val="32"/>
          <w:szCs w:val="32"/>
          <w:highlight w:val="none"/>
        </w:rPr>
        <w:t>万元，主要用于</w:t>
      </w:r>
      <w:r>
        <w:rPr>
          <w:rFonts w:hint="eastAsia" w:ascii="仿宋_GB2312" w:eastAsia="仿宋_GB2312"/>
          <w:sz w:val="32"/>
          <w:szCs w:val="32"/>
        </w:rPr>
        <w:t>单位</w:t>
      </w:r>
      <w:r>
        <w:rPr>
          <w:rFonts w:hint="eastAsia" w:ascii="仿宋_GB2312" w:eastAsia="仿宋_GB2312"/>
          <w:sz w:val="32"/>
          <w:szCs w:val="32"/>
          <w:lang w:val="en-US" w:eastAsia="zh-CN"/>
        </w:rPr>
        <w:t>人员经费、遗属生活补贴、取暖补贴、保障单位运行及公用经费支出。</w:t>
      </w:r>
      <w:r>
        <w:rPr>
          <w:rFonts w:eastAsia="仿宋_GB2312"/>
          <w:sz w:val="32"/>
          <w:szCs w:val="32"/>
          <w:highlight w:val="none"/>
        </w:rPr>
        <w:t>与上年相比增加</w:t>
      </w:r>
      <w:r>
        <w:rPr>
          <w:rFonts w:hint="eastAsia" w:eastAsia="仿宋_GB2312"/>
          <w:sz w:val="32"/>
          <w:szCs w:val="32"/>
          <w:highlight w:val="none"/>
          <w:lang w:val="en-US" w:eastAsia="zh-CN"/>
        </w:rPr>
        <w:t>61.01</w:t>
      </w:r>
      <w:r>
        <w:rPr>
          <w:rFonts w:eastAsia="仿宋_GB2312"/>
          <w:sz w:val="32"/>
          <w:szCs w:val="32"/>
          <w:highlight w:val="none"/>
        </w:rPr>
        <w:t>万元，增长</w:t>
      </w:r>
      <w:r>
        <w:rPr>
          <w:rFonts w:hint="eastAsia" w:eastAsia="仿宋_GB2312"/>
          <w:sz w:val="32"/>
          <w:szCs w:val="32"/>
          <w:highlight w:val="none"/>
          <w:lang w:val="en-US" w:eastAsia="zh-CN"/>
        </w:rPr>
        <w:t>12.05</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5人，在编人数比去年增加，因此工资等有所增加</w:t>
      </w:r>
      <w:r>
        <w:rPr>
          <w:rFonts w:eastAsia="仿宋_GB2312"/>
          <w:sz w:val="32"/>
          <w:szCs w:val="32"/>
          <w:highlight w:val="none"/>
        </w:rPr>
        <w:t>。</w:t>
      </w:r>
    </w:p>
    <w:p>
      <w:pPr>
        <w:pStyle w:val="11"/>
        <w:tabs>
          <w:tab w:val="left" w:pos="1389"/>
          <w:tab w:val="left" w:pos="4911"/>
          <w:tab w:val="left" w:pos="5898"/>
        </w:tabs>
        <w:spacing w:after="0" w:line="600" w:lineRule="exact"/>
        <w:ind w:firstLine="640" w:firstLineChars="200"/>
        <w:rPr>
          <w:rFonts w:hint="default" w:eastAsia="仿宋_GB2312"/>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4</w:t>
      </w:r>
      <w:r>
        <w:rPr>
          <w:rFonts w:hint="eastAsia" w:eastAsia="仿宋_GB2312"/>
          <w:sz w:val="32"/>
          <w:szCs w:val="32"/>
          <w:highlight w:val="none"/>
          <w:lang w:eastAsia="zh-CN"/>
        </w:rPr>
        <w:t>）住房保障</w:t>
      </w:r>
      <w:r>
        <w:rPr>
          <w:rFonts w:eastAsia="仿宋_GB2312"/>
          <w:sz w:val="32"/>
          <w:szCs w:val="32"/>
          <w:highlight w:val="none"/>
        </w:rPr>
        <w:t>（类）支出</w:t>
      </w:r>
      <w:r>
        <w:rPr>
          <w:rFonts w:hint="eastAsia" w:eastAsia="仿宋_GB2312"/>
          <w:sz w:val="32"/>
          <w:szCs w:val="32"/>
          <w:highlight w:val="none"/>
          <w:lang w:val="en-US" w:eastAsia="zh-CN"/>
        </w:rPr>
        <w:t>60.97</w:t>
      </w:r>
      <w:r>
        <w:rPr>
          <w:rFonts w:eastAsia="仿宋_GB2312"/>
          <w:sz w:val="32"/>
          <w:szCs w:val="32"/>
          <w:highlight w:val="none"/>
        </w:rPr>
        <w:t>万元，主要用于</w:t>
      </w:r>
      <w:r>
        <w:rPr>
          <w:rFonts w:hint="eastAsia" w:ascii="仿宋_GB2312" w:eastAsia="仿宋_GB2312"/>
          <w:sz w:val="32"/>
          <w:szCs w:val="32"/>
        </w:rPr>
        <w:t>单位</w:t>
      </w:r>
      <w:r>
        <w:rPr>
          <w:rFonts w:hint="eastAsia" w:ascii="仿宋_GB2312" w:eastAsia="仿宋_GB2312"/>
          <w:sz w:val="32"/>
          <w:szCs w:val="32"/>
          <w:lang w:eastAsia="zh-CN"/>
        </w:rPr>
        <w:t>职工</w:t>
      </w:r>
      <w:r>
        <w:rPr>
          <w:rFonts w:hint="eastAsia" w:ascii="仿宋_GB2312" w:eastAsia="仿宋_GB2312"/>
          <w:sz w:val="32"/>
          <w:szCs w:val="32"/>
          <w:lang w:val="en-US" w:eastAsia="zh-CN"/>
        </w:rPr>
        <w:t>住房公积金缴纳</w:t>
      </w:r>
      <w:r>
        <w:rPr>
          <w:rFonts w:eastAsia="仿宋_GB2312"/>
          <w:sz w:val="32"/>
          <w:szCs w:val="32"/>
          <w:highlight w:val="none"/>
        </w:rPr>
        <w:t>。与上年相比增加</w:t>
      </w:r>
      <w:r>
        <w:rPr>
          <w:rFonts w:hint="eastAsia" w:eastAsia="仿宋_GB2312"/>
          <w:sz w:val="32"/>
          <w:szCs w:val="32"/>
          <w:highlight w:val="none"/>
          <w:lang w:val="en-US" w:eastAsia="zh-CN"/>
        </w:rPr>
        <w:t>6.9</w:t>
      </w:r>
      <w:r>
        <w:rPr>
          <w:rFonts w:eastAsia="仿宋_GB2312"/>
          <w:sz w:val="32"/>
          <w:szCs w:val="32"/>
          <w:highlight w:val="none"/>
        </w:rPr>
        <w:t>万元，增长</w:t>
      </w:r>
      <w:r>
        <w:rPr>
          <w:rFonts w:hint="eastAsia" w:eastAsia="仿宋_GB2312"/>
          <w:sz w:val="32"/>
          <w:szCs w:val="32"/>
          <w:highlight w:val="none"/>
          <w:lang w:val="en-US" w:eastAsia="zh-CN"/>
        </w:rPr>
        <w:t>12.76</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5人，在编人数比去年增加，因此公积金有所增加</w:t>
      </w:r>
      <w:r>
        <w:rPr>
          <w:rFonts w:eastAsia="仿宋_GB2312"/>
          <w:sz w:val="32"/>
          <w:szCs w:val="32"/>
          <w:highlight w:val="none"/>
        </w:rPr>
        <w:t>。</w:t>
      </w:r>
    </w:p>
    <w:p>
      <w:pPr>
        <w:spacing w:line="600" w:lineRule="exact"/>
        <w:ind w:firstLine="640" w:firstLineChars="200"/>
        <w:outlineLvl w:val="2"/>
        <w:rPr>
          <w:rFonts w:eastAsia="黑体" w:cs="黑体"/>
          <w:sz w:val="32"/>
          <w:szCs w:val="36"/>
        </w:rPr>
      </w:pPr>
      <w:r>
        <w:rPr>
          <w:rFonts w:hint="eastAsia" w:eastAsia="黑体" w:cs="黑体"/>
          <w:sz w:val="32"/>
          <w:szCs w:val="36"/>
        </w:rPr>
        <w:t>五、一般公共预算支出预算情况说明</w:t>
      </w:r>
    </w:p>
    <w:p>
      <w:pPr>
        <w:pStyle w:val="11"/>
        <w:tabs>
          <w:tab w:val="left" w:pos="2671"/>
          <w:tab w:val="left" w:pos="5000"/>
          <w:tab w:val="left" w:pos="6190"/>
        </w:tabs>
        <w:spacing w:after="0" w:line="600" w:lineRule="exact"/>
        <w:ind w:firstLine="640" w:firstLineChars="200"/>
        <w:rPr>
          <w:rFonts w:eastAsia="仿宋_GB2312"/>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hint="eastAsia" w:ascii="仿宋_GB2312" w:hAnsi="仿宋_GB2312" w:eastAsia="仿宋_GB2312" w:cs="仿宋_GB2312"/>
          <w:sz w:val="32"/>
          <w:szCs w:val="32"/>
        </w:rPr>
        <w:t>年度</w:t>
      </w:r>
      <w:r>
        <w:rPr>
          <w:rFonts w:eastAsia="仿宋_GB2312"/>
          <w:sz w:val="32"/>
          <w:szCs w:val="32"/>
        </w:rPr>
        <w:t>一般公共预算财政拨款支出预算</w:t>
      </w:r>
      <w:r>
        <w:rPr>
          <w:rFonts w:hint="eastAsia" w:eastAsia="仿宋_GB2312"/>
          <w:sz w:val="32"/>
          <w:szCs w:val="32"/>
          <w:lang w:val="en-US" w:eastAsia="zh-CN"/>
        </w:rPr>
        <w:t>762.98</w:t>
      </w:r>
      <w:r>
        <w:rPr>
          <w:rFonts w:eastAsia="仿宋_GB2312"/>
          <w:sz w:val="32"/>
          <w:szCs w:val="32"/>
        </w:rPr>
        <w:t>万元，与上年相比</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68.81</w:t>
      </w:r>
      <w:r>
        <w:rPr>
          <w:rFonts w:eastAsia="仿宋_GB2312"/>
          <w:sz w:val="32"/>
          <w:szCs w:val="32"/>
        </w:rPr>
        <w:t>万元，</w:t>
      </w:r>
      <w:r>
        <w:rPr>
          <w:rFonts w:hint="eastAsia" w:eastAsia="仿宋_GB2312"/>
          <w:sz w:val="32"/>
          <w:szCs w:val="32"/>
          <w:highlight w:val="none"/>
          <w:lang w:eastAsia="zh-CN"/>
        </w:rPr>
        <w:t>增长</w:t>
      </w:r>
      <w:r>
        <w:rPr>
          <w:rFonts w:hint="eastAsia" w:ascii="仿宋_GB2312" w:hAnsi="仿宋_GB2312" w:eastAsia="仿宋_GB2312" w:cs="仿宋_GB2312"/>
          <w:sz w:val="32"/>
          <w:szCs w:val="32"/>
          <w:lang w:val="en-US" w:eastAsia="zh-CN"/>
        </w:rPr>
        <w:t>9.91</w:t>
      </w:r>
      <w:r>
        <w:rPr>
          <w:rFonts w:hint="eastAsia" w:ascii="仿宋_GB2312" w:hAnsi="仿宋_GB2312" w:eastAsia="仿宋_GB2312" w:cs="仿宋_GB2312"/>
          <w:sz w:val="32"/>
          <w:szCs w:val="32"/>
        </w:rPr>
        <w:t>%</w:t>
      </w:r>
      <w:r>
        <w:rPr>
          <w:rFonts w:eastAsia="仿宋_GB2312"/>
          <w:sz w:val="32"/>
          <w:szCs w:val="32"/>
        </w:rPr>
        <w:t>。</w:t>
      </w:r>
      <w:r>
        <w:rPr>
          <w:rFonts w:hint="eastAsia" w:eastAsia="仿宋_GB2312"/>
          <w:sz w:val="32"/>
          <w:szCs w:val="32"/>
        </w:rPr>
        <w:t>具体情况如下：</w:t>
      </w:r>
    </w:p>
    <w:p>
      <w:pPr>
        <w:pStyle w:val="11"/>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w:t>
      </w:r>
      <w:r>
        <w:rPr>
          <w:rFonts w:hint="eastAsia" w:ascii="楷体" w:hAnsi="楷体" w:eastAsia="楷体" w:cs="楷体"/>
          <w:b/>
          <w:bCs/>
          <w:sz w:val="32"/>
          <w:szCs w:val="32"/>
          <w:highlight w:val="none"/>
          <w:lang w:eastAsia="zh-CN"/>
        </w:rPr>
        <w:t>社会保障和就业支出</w:t>
      </w:r>
      <w:r>
        <w:rPr>
          <w:rFonts w:hint="eastAsia" w:ascii="楷体" w:hAnsi="楷体" w:eastAsia="楷体" w:cs="楷体"/>
          <w:b/>
          <w:bCs/>
          <w:sz w:val="32"/>
          <w:szCs w:val="32"/>
          <w:highlight w:val="none"/>
        </w:rPr>
        <w:t>（类）</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eastAsia="仿宋_GB2312"/>
          <w:b w:val="0"/>
          <w:bCs w:val="0"/>
          <w:sz w:val="32"/>
          <w:szCs w:val="32"/>
          <w:highlight w:val="none"/>
        </w:rPr>
      </w:pPr>
      <w:r>
        <w:rPr>
          <w:rFonts w:hint="eastAsia" w:eastAsia="仿宋_GB2312"/>
          <w:b w:val="0"/>
          <w:bCs w:val="0"/>
          <w:sz w:val="32"/>
          <w:szCs w:val="32"/>
          <w:highlight w:val="none"/>
          <w:lang w:eastAsia="zh-CN"/>
        </w:rPr>
        <w:t>社会保障和就业支出类</w:t>
      </w:r>
      <w:r>
        <w:rPr>
          <w:rFonts w:hint="eastAsia" w:eastAsia="仿宋_GB2312"/>
          <w:b w:val="0"/>
          <w:bCs w:val="0"/>
          <w:sz w:val="32"/>
          <w:szCs w:val="32"/>
          <w:highlight w:val="none"/>
        </w:rPr>
        <w:t>预算数为</w:t>
      </w:r>
      <w:r>
        <w:rPr>
          <w:rFonts w:hint="eastAsia" w:eastAsia="仿宋_GB2312"/>
          <w:b w:val="0"/>
          <w:bCs w:val="0"/>
          <w:sz w:val="32"/>
          <w:szCs w:val="32"/>
          <w:highlight w:val="none"/>
          <w:lang w:val="en-US" w:eastAsia="zh-CN"/>
        </w:rPr>
        <w:t>88.47</w:t>
      </w:r>
      <w:r>
        <w:rPr>
          <w:rFonts w:eastAsia="仿宋_GB2312"/>
          <w:b w:val="0"/>
          <w:bCs w:val="0"/>
          <w:sz w:val="32"/>
          <w:szCs w:val="32"/>
          <w:highlight w:val="none"/>
        </w:rPr>
        <w:t>万元</w:t>
      </w:r>
      <w:r>
        <w:rPr>
          <w:rFonts w:hint="eastAsia" w:eastAsia="仿宋_GB2312"/>
          <w:b w:val="0"/>
          <w:bCs w:val="0"/>
          <w:sz w:val="32"/>
          <w:szCs w:val="32"/>
          <w:highlight w:val="none"/>
        </w:rPr>
        <w:t>，与上年相比</w:t>
      </w:r>
      <w:r>
        <w:rPr>
          <w:rFonts w:hint="eastAsia" w:eastAsia="仿宋_GB2312"/>
          <w:sz w:val="32"/>
          <w:szCs w:val="32"/>
          <w:highlight w:val="none"/>
          <w:lang w:eastAsia="zh-CN"/>
        </w:rPr>
        <w:t>减少</w:t>
      </w:r>
      <w:r>
        <w:rPr>
          <w:rFonts w:hint="eastAsia" w:eastAsia="仿宋_GB2312"/>
          <w:sz w:val="32"/>
          <w:szCs w:val="32"/>
          <w:highlight w:val="none"/>
          <w:lang w:val="en-US" w:eastAsia="zh-CN"/>
        </w:rPr>
        <w:t>4.39</w:t>
      </w:r>
      <w:r>
        <w:rPr>
          <w:rFonts w:eastAsia="仿宋_GB2312"/>
          <w:b w:val="0"/>
          <w:bCs w:val="0"/>
          <w:sz w:val="32"/>
          <w:szCs w:val="32"/>
          <w:highlight w:val="none"/>
        </w:rPr>
        <w:t>万元</w:t>
      </w:r>
      <w:r>
        <w:rPr>
          <w:rFonts w:hint="eastAsia" w:eastAsia="仿宋_GB2312"/>
          <w:b w:val="0"/>
          <w:bCs w:val="0"/>
          <w:sz w:val="32"/>
          <w:szCs w:val="32"/>
          <w:highlight w:val="none"/>
        </w:rPr>
        <w:t>。其中：</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eastAsia="仿宋_GB2312"/>
          <w:b w:val="0"/>
          <w:bCs w:val="0"/>
          <w:sz w:val="32"/>
          <w:szCs w:val="32"/>
          <w:highlight w:val="none"/>
        </w:rPr>
      </w:pPr>
      <w:r>
        <w:rPr>
          <w:rFonts w:eastAsia="仿宋_GB2312"/>
          <w:b w:val="0"/>
          <w:bCs w:val="0"/>
          <w:sz w:val="32"/>
          <w:szCs w:val="32"/>
          <w:highlight w:val="none"/>
        </w:rPr>
        <w:t>1.</w:t>
      </w:r>
      <w:r>
        <w:rPr>
          <w:rFonts w:hint="eastAsia" w:ascii="仿宋_GB2312" w:eastAsia="仿宋_GB2312"/>
          <w:b w:val="0"/>
          <w:bCs w:val="0"/>
          <w:color w:val="auto"/>
          <w:sz w:val="32"/>
          <w:szCs w:val="32"/>
        </w:rPr>
        <w:t>行政事业单位养老支出（款）</w:t>
      </w:r>
      <w:r>
        <w:rPr>
          <w:rFonts w:hint="eastAsia" w:ascii="仿宋_GB2312" w:eastAsia="仿宋_GB2312"/>
          <w:b w:val="0"/>
          <w:bCs w:val="0"/>
          <w:sz w:val="32"/>
          <w:szCs w:val="32"/>
        </w:rPr>
        <w:t>行政单位离退休（项）</w:t>
      </w:r>
      <w:r>
        <w:rPr>
          <w:rFonts w:eastAsia="仿宋_GB2312"/>
          <w:b w:val="0"/>
          <w:bCs w:val="0"/>
          <w:sz w:val="32"/>
          <w:szCs w:val="32"/>
          <w:highlight w:val="none"/>
        </w:rPr>
        <w:t>。预算</w:t>
      </w:r>
      <w:r>
        <w:rPr>
          <w:rFonts w:hint="eastAsia" w:eastAsia="仿宋_GB2312"/>
          <w:b w:val="0"/>
          <w:bCs w:val="0"/>
          <w:sz w:val="32"/>
          <w:szCs w:val="32"/>
          <w:highlight w:val="none"/>
          <w:lang w:eastAsia="zh-CN"/>
        </w:rPr>
        <w:t>数为</w:t>
      </w:r>
      <w:r>
        <w:rPr>
          <w:rFonts w:hint="eastAsia" w:ascii="仿宋_GB2312" w:eastAsia="仿宋_GB2312"/>
          <w:b w:val="0"/>
          <w:bCs w:val="0"/>
          <w:sz w:val="32"/>
          <w:szCs w:val="32"/>
          <w:lang w:val="en-US" w:eastAsia="zh-CN"/>
        </w:rPr>
        <w:t>20.99</w:t>
      </w:r>
      <w:r>
        <w:rPr>
          <w:rFonts w:eastAsia="仿宋_GB2312"/>
          <w:b w:val="0"/>
          <w:bCs w:val="0"/>
          <w:sz w:val="32"/>
          <w:szCs w:val="32"/>
          <w:highlight w:val="none"/>
        </w:rPr>
        <w:t>万元，与上年相比</w:t>
      </w:r>
      <w:r>
        <w:rPr>
          <w:rFonts w:hint="eastAsia" w:eastAsia="仿宋_GB2312"/>
          <w:sz w:val="32"/>
          <w:szCs w:val="32"/>
          <w:highlight w:val="none"/>
          <w:lang w:eastAsia="zh-CN"/>
        </w:rPr>
        <w:t>减少</w:t>
      </w:r>
      <w:r>
        <w:rPr>
          <w:rFonts w:hint="eastAsia" w:eastAsia="仿宋_GB2312"/>
          <w:b w:val="0"/>
          <w:bCs w:val="0"/>
          <w:sz w:val="32"/>
          <w:szCs w:val="32"/>
          <w:highlight w:val="none"/>
          <w:lang w:val="en-US" w:eastAsia="zh-CN"/>
        </w:rPr>
        <w:t>14.5</w:t>
      </w:r>
      <w:r>
        <w:rPr>
          <w:rFonts w:eastAsia="仿宋_GB2312"/>
          <w:b w:val="0"/>
          <w:bCs w:val="0"/>
          <w:sz w:val="32"/>
          <w:szCs w:val="32"/>
          <w:highlight w:val="none"/>
        </w:rPr>
        <w:t>万元，</w:t>
      </w:r>
      <w:r>
        <w:rPr>
          <w:rFonts w:hint="eastAsia" w:eastAsia="仿宋_GB2312"/>
          <w:b w:val="0"/>
          <w:bCs w:val="0"/>
          <w:sz w:val="32"/>
          <w:szCs w:val="32"/>
          <w:highlight w:val="none"/>
          <w:lang w:eastAsia="zh-CN"/>
        </w:rPr>
        <w:t>减少</w:t>
      </w:r>
      <w:r>
        <w:rPr>
          <w:rFonts w:hint="eastAsia" w:eastAsia="仿宋_GB2312"/>
          <w:b w:val="0"/>
          <w:bCs w:val="0"/>
          <w:sz w:val="32"/>
          <w:szCs w:val="32"/>
          <w:highlight w:val="none"/>
          <w:lang w:val="en-US" w:eastAsia="zh-CN"/>
        </w:rPr>
        <w:t>40.85</w:t>
      </w:r>
      <w:r>
        <w:rPr>
          <w:rFonts w:hint="eastAsia" w:ascii="仿宋_GB2312" w:hAnsi="仿宋_GB2312" w:eastAsia="仿宋_GB2312"/>
          <w:b w:val="0"/>
          <w:bCs w:val="0"/>
          <w:sz w:val="32"/>
          <w:szCs w:val="32"/>
          <w:highlight w:val="none"/>
          <w:lang w:eastAsia="zh-CN"/>
        </w:rPr>
        <w:t>%</w:t>
      </w:r>
      <w:r>
        <w:rPr>
          <w:rFonts w:eastAsia="仿宋_GB2312"/>
          <w:b w:val="0"/>
          <w:bCs w:val="0"/>
          <w:sz w:val="32"/>
          <w:szCs w:val="32"/>
          <w:highlight w:val="none"/>
        </w:rPr>
        <w:t>。变动原因：</w:t>
      </w:r>
      <w:r>
        <w:rPr>
          <w:rFonts w:hint="eastAsia" w:eastAsia="仿宋_GB2312"/>
          <w:sz w:val="32"/>
          <w:szCs w:val="32"/>
          <w:highlight w:val="none"/>
          <w:lang w:val="en-US" w:eastAsia="zh-CN"/>
        </w:rPr>
        <w:t>2025年4月开始，按照市财政要求，对单位退休人员停止发放交通补贴和通讯补贴，因此本年会减少</w:t>
      </w:r>
      <w:r>
        <w:rPr>
          <w:rFonts w:hint="eastAsia" w:ascii="仿宋_GB2312" w:eastAsia="仿宋_GB2312"/>
          <w:b w:val="0"/>
          <w:bCs w:val="0"/>
          <w:sz w:val="32"/>
          <w:szCs w:val="32"/>
          <w:lang w:val="en-US" w:eastAsia="zh-CN"/>
        </w:rPr>
        <w:t>。</w:t>
      </w:r>
    </w:p>
    <w:p>
      <w:pPr>
        <w:pStyle w:val="11"/>
        <w:tabs>
          <w:tab w:val="left" w:pos="1389"/>
          <w:tab w:val="left" w:pos="4911"/>
          <w:tab w:val="left" w:pos="5898"/>
        </w:tabs>
        <w:spacing w:after="0" w:line="600" w:lineRule="exact"/>
        <w:ind w:firstLine="640" w:firstLineChars="200"/>
        <w:rPr>
          <w:rFonts w:hint="default" w:ascii="仿宋_GB2312" w:eastAsia="仿宋_GB2312"/>
          <w:b w:val="0"/>
          <w:bCs w:val="0"/>
          <w:sz w:val="32"/>
          <w:szCs w:val="32"/>
          <w:lang w:val="en-US" w:eastAsia="zh-CN"/>
        </w:rPr>
      </w:pPr>
      <w:r>
        <w:rPr>
          <w:rFonts w:eastAsia="仿宋_GB2312"/>
          <w:b w:val="0"/>
          <w:bCs w:val="0"/>
          <w:sz w:val="32"/>
          <w:szCs w:val="32"/>
          <w:highlight w:val="none"/>
        </w:rPr>
        <w:t>2.</w:t>
      </w:r>
      <w:r>
        <w:rPr>
          <w:rFonts w:hint="eastAsia" w:ascii="仿宋_GB2312" w:eastAsia="仿宋_GB2312"/>
          <w:b w:val="0"/>
          <w:bCs w:val="0"/>
          <w:color w:val="auto"/>
          <w:sz w:val="32"/>
          <w:szCs w:val="32"/>
        </w:rPr>
        <w:t>行政事业单位养老支出（款）</w:t>
      </w:r>
      <w:r>
        <w:rPr>
          <w:rFonts w:hint="eastAsia" w:ascii="仿宋_GB2312" w:eastAsia="仿宋_GB2312"/>
          <w:b w:val="0"/>
          <w:bCs w:val="0"/>
          <w:sz w:val="32"/>
          <w:szCs w:val="32"/>
        </w:rPr>
        <w:t>机关事业单位基本养老保险缴费支出</w:t>
      </w:r>
      <w:r>
        <w:rPr>
          <w:rFonts w:hint="eastAsia" w:ascii="仿宋_GB2312" w:eastAsia="仿宋_GB2312"/>
          <w:b w:val="0"/>
          <w:bCs w:val="0"/>
          <w:sz w:val="32"/>
          <w:szCs w:val="32"/>
          <w:lang w:eastAsia="zh-CN"/>
        </w:rPr>
        <w:t>（</w:t>
      </w:r>
      <w:r>
        <w:rPr>
          <w:rFonts w:hint="eastAsia" w:ascii="仿宋_GB2312" w:eastAsia="仿宋_GB2312"/>
          <w:b w:val="0"/>
          <w:bCs w:val="0"/>
          <w:sz w:val="32"/>
          <w:szCs w:val="32"/>
          <w:lang w:val="en-US" w:eastAsia="zh-CN"/>
        </w:rPr>
        <w:t>项</w:t>
      </w:r>
      <w:r>
        <w:rPr>
          <w:rFonts w:hint="eastAsia" w:ascii="仿宋_GB2312" w:eastAsia="仿宋_GB2312"/>
          <w:b w:val="0"/>
          <w:bCs w:val="0"/>
          <w:sz w:val="32"/>
          <w:szCs w:val="32"/>
          <w:lang w:eastAsia="zh-CN"/>
        </w:rPr>
        <w:t>）。</w:t>
      </w:r>
      <w:r>
        <w:rPr>
          <w:rFonts w:eastAsia="仿宋_GB2312"/>
          <w:b w:val="0"/>
          <w:bCs w:val="0"/>
          <w:sz w:val="32"/>
          <w:szCs w:val="32"/>
          <w:highlight w:val="none"/>
        </w:rPr>
        <w:t>预算</w:t>
      </w:r>
      <w:r>
        <w:rPr>
          <w:rFonts w:hint="eastAsia" w:eastAsia="仿宋_GB2312"/>
          <w:b w:val="0"/>
          <w:bCs w:val="0"/>
          <w:sz w:val="32"/>
          <w:szCs w:val="32"/>
          <w:highlight w:val="none"/>
          <w:lang w:eastAsia="zh-CN"/>
        </w:rPr>
        <w:t>数为</w:t>
      </w:r>
      <w:r>
        <w:rPr>
          <w:rFonts w:hint="eastAsia" w:ascii="仿宋_GB2312" w:eastAsia="仿宋_GB2312"/>
          <w:b w:val="0"/>
          <w:bCs w:val="0"/>
          <w:sz w:val="32"/>
          <w:szCs w:val="32"/>
          <w:lang w:val="en-US" w:eastAsia="zh-CN"/>
        </w:rPr>
        <w:t>64.44</w:t>
      </w:r>
      <w:r>
        <w:rPr>
          <w:rFonts w:eastAsia="仿宋_GB2312"/>
          <w:b w:val="0"/>
          <w:bCs w:val="0"/>
          <w:sz w:val="32"/>
          <w:szCs w:val="32"/>
          <w:highlight w:val="none"/>
        </w:rPr>
        <w:t>万元，与上年相比增加</w:t>
      </w:r>
      <w:r>
        <w:rPr>
          <w:rFonts w:hint="eastAsia" w:eastAsia="仿宋_GB2312"/>
          <w:b w:val="0"/>
          <w:bCs w:val="0"/>
          <w:sz w:val="32"/>
          <w:szCs w:val="32"/>
          <w:lang w:val="en-US" w:eastAsia="zh-CN"/>
        </w:rPr>
        <w:t>9.68</w:t>
      </w:r>
      <w:r>
        <w:rPr>
          <w:rFonts w:eastAsia="仿宋_GB2312"/>
          <w:b w:val="0"/>
          <w:bCs w:val="0"/>
          <w:sz w:val="32"/>
          <w:szCs w:val="32"/>
          <w:highlight w:val="none"/>
        </w:rPr>
        <w:t>万元，增长</w:t>
      </w:r>
      <w:r>
        <w:rPr>
          <w:rFonts w:hint="eastAsia" w:eastAsia="仿宋_GB2312"/>
          <w:b w:val="0"/>
          <w:bCs w:val="0"/>
          <w:sz w:val="32"/>
          <w:szCs w:val="32"/>
          <w:highlight w:val="none"/>
          <w:lang w:val="en-US" w:eastAsia="zh-CN"/>
        </w:rPr>
        <w:t>17.67</w:t>
      </w:r>
      <w:r>
        <w:rPr>
          <w:rFonts w:hint="eastAsia" w:ascii="仿宋_GB2312" w:hAnsi="仿宋_GB2312" w:eastAsia="仿宋_GB2312"/>
          <w:b w:val="0"/>
          <w:bCs w:val="0"/>
          <w:sz w:val="32"/>
          <w:szCs w:val="32"/>
          <w:highlight w:val="none"/>
          <w:lang w:eastAsia="zh-CN"/>
        </w:rPr>
        <w:t>%</w:t>
      </w:r>
      <w:r>
        <w:rPr>
          <w:rFonts w:eastAsia="仿宋_GB2312"/>
          <w:b w:val="0"/>
          <w:bCs w:val="0"/>
          <w:sz w:val="32"/>
          <w:szCs w:val="32"/>
          <w:highlight w:val="none"/>
        </w:rPr>
        <w:t>。变动原因：</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人员增加，养老保险支出也增加</w:t>
      </w:r>
      <w:r>
        <w:rPr>
          <w:rFonts w:eastAsia="仿宋_GB2312"/>
          <w:sz w:val="32"/>
          <w:szCs w:val="32"/>
        </w:rPr>
        <w:t>。</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color w:val="auto"/>
          <w:lang w:val="en-US" w:eastAsia="zh-CN"/>
        </w:rPr>
      </w:pPr>
      <w:r>
        <w:rPr>
          <w:rFonts w:hint="eastAsia" w:eastAsia="仿宋_GB2312"/>
          <w:b w:val="0"/>
          <w:bCs w:val="0"/>
          <w:sz w:val="32"/>
          <w:szCs w:val="32"/>
          <w:highlight w:val="none"/>
          <w:lang w:val="en-US" w:eastAsia="zh-CN"/>
        </w:rPr>
        <w:t>3.</w:t>
      </w:r>
      <w:r>
        <w:rPr>
          <w:rFonts w:hint="eastAsia" w:ascii="仿宋_GB2312" w:eastAsia="仿宋_GB2312"/>
          <w:b w:val="0"/>
          <w:bCs w:val="0"/>
          <w:color w:val="auto"/>
          <w:sz w:val="32"/>
          <w:szCs w:val="32"/>
        </w:rPr>
        <w:t>其他社会保障和就业支出</w:t>
      </w:r>
      <w:r>
        <w:rPr>
          <w:rFonts w:hint="eastAsia" w:ascii="仿宋_GB2312" w:eastAsia="仿宋_GB2312"/>
          <w:b w:val="0"/>
          <w:bCs w:val="0"/>
          <w:color w:val="auto"/>
          <w:sz w:val="32"/>
          <w:szCs w:val="32"/>
          <w:lang w:val="en-US" w:eastAsia="zh-CN"/>
        </w:rPr>
        <w:t>（款）</w:t>
      </w:r>
      <w:r>
        <w:rPr>
          <w:rFonts w:hint="eastAsia" w:ascii="仿宋_GB2312" w:eastAsia="仿宋_GB2312"/>
          <w:b w:val="0"/>
          <w:bCs w:val="0"/>
          <w:sz w:val="32"/>
          <w:szCs w:val="32"/>
        </w:rPr>
        <w:t>其他社会保障和就业支出</w:t>
      </w:r>
      <w:r>
        <w:rPr>
          <w:rFonts w:hint="eastAsia" w:ascii="仿宋_GB2312" w:eastAsia="仿宋_GB2312"/>
          <w:b w:val="0"/>
          <w:bCs w:val="0"/>
          <w:sz w:val="32"/>
          <w:szCs w:val="32"/>
          <w:lang w:eastAsia="zh-CN"/>
        </w:rPr>
        <w:t>（</w:t>
      </w:r>
      <w:r>
        <w:rPr>
          <w:rFonts w:hint="eastAsia" w:ascii="仿宋_GB2312" w:eastAsia="仿宋_GB2312"/>
          <w:b w:val="0"/>
          <w:bCs w:val="0"/>
          <w:sz w:val="32"/>
          <w:szCs w:val="32"/>
          <w:lang w:val="en-US" w:eastAsia="zh-CN"/>
        </w:rPr>
        <w:t>项</w:t>
      </w:r>
      <w:r>
        <w:rPr>
          <w:rFonts w:hint="eastAsia" w:ascii="仿宋_GB2312" w:eastAsia="仿宋_GB2312"/>
          <w:b w:val="0"/>
          <w:bCs w:val="0"/>
          <w:sz w:val="32"/>
          <w:szCs w:val="32"/>
          <w:lang w:eastAsia="zh-CN"/>
        </w:rPr>
        <w:t>）。</w:t>
      </w:r>
      <w:r>
        <w:rPr>
          <w:rFonts w:eastAsia="仿宋_GB2312"/>
          <w:b w:val="0"/>
          <w:bCs w:val="0"/>
          <w:sz w:val="32"/>
          <w:szCs w:val="32"/>
          <w:highlight w:val="none"/>
        </w:rPr>
        <w:t>预算</w:t>
      </w:r>
      <w:r>
        <w:rPr>
          <w:rFonts w:hint="eastAsia" w:eastAsia="仿宋_GB2312"/>
          <w:b w:val="0"/>
          <w:bCs w:val="0"/>
          <w:sz w:val="32"/>
          <w:szCs w:val="32"/>
          <w:highlight w:val="none"/>
          <w:lang w:eastAsia="zh-CN"/>
        </w:rPr>
        <w:t>数为</w:t>
      </w:r>
      <w:r>
        <w:rPr>
          <w:rFonts w:hint="eastAsia" w:ascii="仿宋_GB2312" w:eastAsia="仿宋_GB2312"/>
          <w:b w:val="0"/>
          <w:bCs w:val="0"/>
          <w:sz w:val="32"/>
          <w:szCs w:val="32"/>
          <w:lang w:val="en-US" w:eastAsia="zh-CN"/>
        </w:rPr>
        <w:t>3.04</w:t>
      </w:r>
      <w:r>
        <w:rPr>
          <w:rFonts w:eastAsia="仿宋_GB2312"/>
          <w:b w:val="0"/>
          <w:bCs w:val="0"/>
          <w:sz w:val="32"/>
          <w:szCs w:val="32"/>
          <w:highlight w:val="none"/>
        </w:rPr>
        <w:t>万元，与上年相比</w:t>
      </w:r>
      <w:r>
        <w:rPr>
          <w:rFonts w:hint="eastAsia" w:eastAsia="仿宋_GB2312"/>
          <w:b w:val="0"/>
          <w:bCs w:val="0"/>
          <w:sz w:val="32"/>
          <w:szCs w:val="32"/>
          <w:highlight w:val="none"/>
          <w:lang w:eastAsia="zh-CN"/>
        </w:rPr>
        <w:t>增加</w:t>
      </w:r>
      <w:r>
        <w:rPr>
          <w:rFonts w:hint="eastAsia" w:eastAsia="仿宋_GB2312"/>
          <w:b w:val="0"/>
          <w:bCs w:val="0"/>
          <w:sz w:val="32"/>
          <w:szCs w:val="32"/>
          <w:highlight w:val="none"/>
          <w:lang w:val="en-US" w:eastAsia="zh-CN"/>
        </w:rPr>
        <w:t>0.43</w:t>
      </w:r>
      <w:r>
        <w:rPr>
          <w:rFonts w:eastAsia="仿宋_GB2312"/>
          <w:b w:val="0"/>
          <w:bCs w:val="0"/>
          <w:sz w:val="32"/>
          <w:szCs w:val="32"/>
          <w:highlight w:val="none"/>
        </w:rPr>
        <w:t>万元，</w:t>
      </w:r>
      <w:r>
        <w:rPr>
          <w:rFonts w:hint="eastAsia" w:eastAsia="仿宋_GB2312"/>
          <w:b w:val="0"/>
          <w:bCs w:val="0"/>
          <w:sz w:val="32"/>
          <w:szCs w:val="32"/>
          <w:highlight w:val="none"/>
          <w:lang w:eastAsia="zh-CN"/>
        </w:rPr>
        <w:t>增长</w:t>
      </w:r>
      <w:r>
        <w:rPr>
          <w:rFonts w:hint="eastAsia" w:eastAsia="仿宋_GB2312"/>
          <w:b w:val="0"/>
          <w:bCs w:val="0"/>
          <w:sz w:val="32"/>
          <w:szCs w:val="32"/>
          <w:highlight w:val="none"/>
          <w:lang w:val="en-US" w:eastAsia="zh-CN"/>
        </w:rPr>
        <w:t>16.47</w:t>
      </w:r>
      <w:r>
        <w:rPr>
          <w:rFonts w:hint="eastAsia" w:ascii="仿宋_GB2312" w:hAnsi="仿宋_GB2312" w:eastAsia="仿宋_GB2312"/>
          <w:b w:val="0"/>
          <w:bCs w:val="0"/>
          <w:sz w:val="32"/>
          <w:szCs w:val="32"/>
          <w:highlight w:val="none"/>
          <w:lang w:eastAsia="zh-CN"/>
        </w:rPr>
        <w:t>%</w:t>
      </w:r>
      <w:r>
        <w:rPr>
          <w:rFonts w:eastAsia="仿宋_GB2312"/>
          <w:b w:val="0"/>
          <w:bCs w:val="0"/>
          <w:sz w:val="32"/>
          <w:szCs w:val="32"/>
          <w:highlight w:val="none"/>
        </w:rPr>
        <w:t>。变动原因：</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w:t>
      </w:r>
      <w:r>
        <w:rPr>
          <w:rFonts w:hint="eastAsia" w:ascii="仿宋_GB2312" w:eastAsia="仿宋_GB2312"/>
          <w:b w:val="0"/>
          <w:bCs w:val="0"/>
          <w:color w:val="auto"/>
          <w:sz w:val="32"/>
          <w:szCs w:val="32"/>
          <w:lang w:val="en-US" w:eastAsia="zh-CN"/>
        </w:rPr>
        <w:t>，</w:t>
      </w:r>
      <w:r>
        <w:rPr>
          <w:rFonts w:hint="eastAsia" w:ascii="仿宋_GB2312" w:eastAsia="仿宋_GB2312"/>
          <w:b w:val="0"/>
          <w:bCs w:val="0"/>
          <w:sz w:val="32"/>
          <w:szCs w:val="32"/>
        </w:rPr>
        <w:t>其他社会保障和就业支出</w:t>
      </w:r>
      <w:r>
        <w:rPr>
          <w:rFonts w:hint="eastAsia" w:ascii="仿宋_GB2312" w:eastAsia="仿宋_GB2312"/>
          <w:b w:val="0"/>
          <w:bCs w:val="0"/>
          <w:sz w:val="32"/>
          <w:szCs w:val="32"/>
          <w:lang w:eastAsia="zh-CN"/>
        </w:rPr>
        <w:t>增加</w:t>
      </w:r>
      <w:r>
        <w:rPr>
          <w:rFonts w:hint="eastAsia" w:ascii="仿宋_GB2312" w:eastAsia="仿宋_GB2312"/>
          <w:b w:val="0"/>
          <w:bCs w:val="0"/>
          <w:color w:val="auto"/>
          <w:sz w:val="32"/>
          <w:szCs w:val="32"/>
        </w:rPr>
        <w:t>。</w:t>
      </w:r>
    </w:p>
    <w:p>
      <w:pPr>
        <w:pStyle w:val="11"/>
        <w:keepNext w:val="0"/>
        <w:keepLines w:val="0"/>
        <w:pageBreakBefore w:val="0"/>
        <w:widowControl w:val="0"/>
        <w:tabs>
          <w:tab w:val="left" w:pos="4275"/>
        </w:tabs>
        <w:kinsoku/>
        <w:wordWrap/>
        <w:overflowPunct/>
        <w:topLinePunct w:val="0"/>
        <w:autoSpaceDE/>
        <w:autoSpaceDN/>
        <w:bidi w:val="0"/>
        <w:spacing w:after="0" w:line="600" w:lineRule="exact"/>
        <w:ind w:firstLine="643" w:firstLineChars="200"/>
        <w:textAlignment w:val="auto"/>
        <w:rPr>
          <w:rFonts w:ascii="楷体" w:hAnsi="楷体" w:eastAsia="楷体" w:cs="楷体"/>
          <w:b/>
          <w:bCs/>
          <w:sz w:val="32"/>
          <w:szCs w:val="32"/>
          <w:highlight w:val="none"/>
        </w:rPr>
      </w:pPr>
      <w:r>
        <w:rPr>
          <w:rFonts w:hint="eastAsia" w:ascii="楷体" w:hAnsi="楷体" w:eastAsia="楷体" w:cs="楷体"/>
          <w:b/>
          <w:bCs/>
          <w:sz w:val="32"/>
          <w:szCs w:val="32"/>
          <w:highlight w:val="none"/>
        </w:rPr>
        <w:t>（二）</w:t>
      </w:r>
      <w:r>
        <w:rPr>
          <w:rFonts w:hint="eastAsia" w:ascii="楷体" w:hAnsi="楷体" w:eastAsia="楷体" w:cs="楷体"/>
          <w:b/>
          <w:bCs/>
          <w:sz w:val="32"/>
          <w:szCs w:val="32"/>
          <w:highlight w:val="none"/>
          <w:lang w:eastAsia="zh-CN"/>
        </w:rPr>
        <w:t>卫生健康支出</w:t>
      </w:r>
      <w:r>
        <w:rPr>
          <w:rFonts w:hint="eastAsia" w:ascii="楷体" w:hAnsi="楷体" w:eastAsia="楷体" w:cs="楷体"/>
          <w:b/>
          <w:bCs/>
          <w:sz w:val="32"/>
          <w:szCs w:val="32"/>
          <w:highlight w:val="none"/>
        </w:rPr>
        <w:t>（类）</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卫生健康支出</w:t>
      </w:r>
      <w:r>
        <w:rPr>
          <w:rFonts w:hint="eastAsia" w:ascii="仿宋_GB2312" w:hAnsi="仿宋_GB2312" w:eastAsia="仿宋_GB2312" w:cs="仿宋_GB2312"/>
          <w:b w:val="0"/>
          <w:bCs w:val="0"/>
          <w:sz w:val="32"/>
          <w:szCs w:val="32"/>
          <w:highlight w:val="none"/>
        </w:rPr>
        <w:t>类预算数为</w:t>
      </w:r>
      <w:r>
        <w:rPr>
          <w:rFonts w:hint="eastAsia" w:ascii="仿宋_GB2312" w:hAnsi="仿宋_GB2312" w:eastAsia="仿宋_GB2312" w:cs="仿宋_GB2312"/>
          <w:b w:val="0"/>
          <w:bCs w:val="0"/>
          <w:sz w:val="32"/>
          <w:szCs w:val="32"/>
          <w:highlight w:val="none"/>
          <w:lang w:val="en-US" w:eastAsia="zh-CN"/>
        </w:rPr>
        <w:t>46.42</w:t>
      </w:r>
      <w:r>
        <w:rPr>
          <w:rFonts w:hint="eastAsia" w:ascii="仿宋_GB2312" w:hAnsi="仿宋_GB2312" w:eastAsia="仿宋_GB2312" w:cs="仿宋_GB2312"/>
          <w:b w:val="0"/>
          <w:bCs w:val="0"/>
          <w:sz w:val="32"/>
          <w:szCs w:val="32"/>
          <w:highlight w:val="none"/>
        </w:rPr>
        <w:t>万元，与上年相比增加</w:t>
      </w:r>
      <w:r>
        <w:rPr>
          <w:rFonts w:hint="eastAsia" w:ascii="仿宋_GB2312" w:hAnsi="仿宋_GB2312" w:eastAsia="仿宋_GB2312" w:cs="仿宋_GB2312"/>
          <w:b w:val="0"/>
          <w:bCs w:val="0"/>
          <w:sz w:val="32"/>
          <w:szCs w:val="32"/>
          <w:highlight w:val="none"/>
          <w:lang w:val="en-US" w:eastAsia="zh-CN"/>
        </w:rPr>
        <w:t>5.29</w:t>
      </w:r>
      <w:r>
        <w:rPr>
          <w:rFonts w:hint="eastAsia" w:ascii="仿宋_GB2312" w:hAnsi="仿宋_GB2312" w:eastAsia="仿宋_GB2312" w:cs="仿宋_GB2312"/>
          <w:b w:val="0"/>
          <w:bCs w:val="0"/>
          <w:sz w:val="32"/>
          <w:szCs w:val="32"/>
          <w:highlight w:val="none"/>
        </w:rPr>
        <w:t>万元。其中：</w:t>
      </w:r>
    </w:p>
    <w:p>
      <w:pPr>
        <w:pStyle w:val="11"/>
        <w:tabs>
          <w:tab w:val="left" w:pos="1389"/>
          <w:tab w:val="left" w:pos="4911"/>
          <w:tab w:val="left" w:pos="5898"/>
        </w:tabs>
        <w:spacing w:after="0"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rPr>
        <w:t>行政事业单位医疗（款）事业单位医疗（项）</w:t>
      </w:r>
      <w:r>
        <w:rPr>
          <w:rFonts w:hint="eastAsia" w:ascii="仿宋_GB2312" w:hAnsi="仿宋_GB2312" w:eastAsia="仿宋_GB2312" w:cs="仿宋_GB2312"/>
          <w:b w:val="0"/>
          <w:bCs w:val="0"/>
          <w:sz w:val="32"/>
          <w:szCs w:val="32"/>
          <w:highlight w:val="none"/>
        </w:rPr>
        <w:t>。预算</w:t>
      </w:r>
      <w:r>
        <w:rPr>
          <w:rFonts w:hint="eastAsia" w:ascii="仿宋_GB2312" w:hAnsi="仿宋_GB2312" w:eastAsia="仿宋_GB2312" w:cs="仿宋_GB2312"/>
          <w:b w:val="0"/>
          <w:bCs w:val="0"/>
          <w:sz w:val="32"/>
          <w:szCs w:val="32"/>
          <w:highlight w:val="none"/>
          <w:lang w:eastAsia="zh-CN"/>
        </w:rPr>
        <w:t>数为</w:t>
      </w:r>
      <w:r>
        <w:rPr>
          <w:rFonts w:hint="eastAsia" w:ascii="仿宋_GB2312" w:hAnsi="仿宋_GB2312" w:eastAsia="仿宋_GB2312" w:cs="仿宋_GB2312"/>
          <w:b w:val="0"/>
          <w:bCs w:val="0"/>
          <w:sz w:val="32"/>
          <w:szCs w:val="32"/>
          <w:highlight w:val="none"/>
          <w:u w:val="none"/>
          <w:lang w:val="en-US" w:eastAsia="zh-CN"/>
        </w:rPr>
        <w:t>31.67</w:t>
      </w:r>
      <w:r>
        <w:rPr>
          <w:rFonts w:hint="eastAsia" w:ascii="仿宋_GB2312" w:hAnsi="仿宋_GB2312" w:eastAsia="仿宋_GB2312" w:cs="仿宋_GB2312"/>
          <w:b w:val="0"/>
          <w:bCs w:val="0"/>
          <w:sz w:val="32"/>
          <w:szCs w:val="32"/>
          <w:highlight w:val="none"/>
        </w:rPr>
        <w:t>万元，与上年相比增加</w:t>
      </w:r>
      <w:r>
        <w:rPr>
          <w:rFonts w:hint="eastAsia" w:ascii="仿宋_GB2312" w:hAnsi="仿宋_GB2312" w:eastAsia="仿宋_GB2312" w:cs="仿宋_GB2312"/>
          <w:b w:val="0"/>
          <w:bCs w:val="0"/>
          <w:sz w:val="32"/>
          <w:szCs w:val="32"/>
          <w:highlight w:val="none"/>
          <w:lang w:val="en-US" w:eastAsia="zh-CN"/>
        </w:rPr>
        <w:t>3.87</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13.92</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w:t>
      </w:r>
      <w:r>
        <w:rPr>
          <w:rFonts w:hint="eastAsia" w:eastAsia="仿宋_GB2312"/>
          <w:sz w:val="32"/>
          <w:szCs w:val="32"/>
          <w:highlight w:val="none"/>
          <w:lang w:eastAsia="zh-CN"/>
        </w:rPr>
        <w:t>事业单位医疗保险也相应增加</w:t>
      </w:r>
      <w:r>
        <w:rPr>
          <w:rFonts w:hint="eastAsia" w:ascii="仿宋_GB2312" w:hAnsi="仿宋_GB2312" w:eastAsia="仿宋_GB2312" w:cs="仿宋_GB2312"/>
          <w:b w:val="0"/>
          <w:bCs w:val="0"/>
          <w:sz w:val="32"/>
          <w:szCs w:val="32"/>
        </w:rPr>
        <w:t>。</w:t>
      </w:r>
    </w:p>
    <w:p>
      <w:pPr>
        <w:pStyle w:val="11"/>
        <w:tabs>
          <w:tab w:val="left" w:pos="1389"/>
          <w:tab w:val="left" w:pos="4911"/>
          <w:tab w:val="left" w:pos="5898"/>
        </w:tabs>
        <w:spacing w:after="0" w:line="600" w:lineRule="exact"/>
        <w:ind w:firstLine="640" w:firstLineChars="200"/>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rPr>
        <w:t>行政事业单位医疗（款）公务员医疗补助（项）</w:t>
      </w:r>
      <w:r>
        <w:rPr>
          <w:rFonts w:hint="eastAsia" w:ascii="仿宋_GB2312" w:hAnsi="仿宋_GB2312" w:eastAsia="仿宋_GB2312" w:cs="仿宋_GB2312"/>
          <w:b w:val="0"/>
          <w:bCs w:val="0"/>
          <w:sz w:val="32"/>
          <w:szCs w:val="32"/>
          <w:highlight w:val="none"/>
        </w:rPr>
        <w:t>。预算</w:t>
      </w:r>
      <w:r>
        <w:rPr>
          <w:rFonts w:hint="eastAsia" w:ascii="仿宋_GB2312" w:hAnsi="仿宋_GB2312" w:eastAsia="仿宋_GB2312" w:cs="仿宋_GB2312"/>
          <w:b w:val="0"/>
          <w:bCs w:val="0"/>
          <w:sz w:val="32"/>
          <w:szCs w:val="32"/>
          <w:highlight w:val="none"/>
          <w:lang w:eastAsia="zh-CN"/>
        </w:rPr>
        <w:t>数为</w:t>
      </w:r>
      <w:r>
        <w:rPr>
          <w:rFonts w:hint="eastAsia" w:ascii="仿宋_GB2312" w:hAnsi="仿宋_GB2312" w:eastAsia="仿宋_GB2312" w:cs="仿宋_GB2312"/>
          <w:b w:val="0"/>
          <w:bCs w:val="0"/>
          <w:sz w:val="32"/>
          <w:szCs w:val="32"/>
          <w:highlight w:val="none"/>
          <w:lang w:val="en-US" w:eastAsia="zh-CN"/>
        </w:rPr>
        <w:t>14.75</w:t>
      </w:r>
      <w:r>
        <w:rPr>
          <w:rFonts w:hint="eastAsia" w:ascii="仿宋_GB2312" w:hAnsi="仿宋_GB2312" w:eastAsia="仿宋_GB2312" w:cs="仿宋_GB2312"/>
          <w:b w:val="0"/>
          <w:bCs w:val="0"/>
          <w:sz w:val="32"/>
          <w:szCs w:val="32"/>
          <w:highlight w:val="none"/>
        </w:rPr>
        <w:t>万元，与上年相比增加</w:t>
      </w:r>
      <w:r>
        <w:rPr>
          <w:rFonts w:hint="eastAsia" w:ascii="仿宋_GB2312" w:hAnsi="仿宋_GB2312" w:eastAsia="仿宋_GB2312" w:cs="仿宋_GB2312"/>
          <w:b w:val="0"/>
          <w:bCs w:val="0"/>
          <w:sz w:val="32"/>
          <w:szCs w:val="32"/>
          <w:highlight w:val="none"/>
          <w:lang w:val="en-US" w:eastAsia="zh-CN"/>
        </w:rPr>
        <w:t>1.42</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10.65</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w:t>
      </w:r>
      <w:r>
        <w:rPr>
          <w:rFonts w:hint="eastAsia" w:eastAsia="仿宋_GB2312"/>
          <w:sz w:val="32"/>
          <w:szCs w:val="32"/>
          <w:highlight w:val="none"/>
          <w:lang w:eastAsia="zh-CN"/>
        </w:rPr>
        <w:t>公务员医疗补助也相应增加</w:t>
      </w:r>
      <w:r>
        <w:rPr>
          <w:rFonts w:hint="eastAsia" w:ascii="仿宋_GB2312" w:hAnsi="仿宋_GB2312" w:eastAsia="仿宋_GB2312" w:cs="仿宋_GB2312"/>
          <w:b w:val="0"/>
          <w:bCs w:val="0"/>
          <w:sz w:val="32"/>
          <w:szCs w:val="32"/>
        </w:rPr>
        <w:t>。</w:t>
      </w:r>
    </w:p>
    <w:p>
      <w:pPr>
        <w:pStyle w:val="11"/>
        <w:keepNext w:val="0"/>
        <w:keepLines w:val="0"/>
        <w:pageBreakBefore w:val="0"/>
        <w:widowControl w:val="0"/>
        <w:tabs>
          <w:tab w:val="left" w:pos="4275"/>
        </w:tabs>
        <w:kinsoku/>
        <w:wordWrap/>
        <w:overflowPunct/>
        <w:topLinePunct w:val="0"/>
        <w:autoSpaceDE/>
        <w:autoSpaceDN/>
        <w:bidi w:val="0"/>
        <w:spacing w:after="0" w:line="600" w:lineRule="exact"/>
        <w:ind w:firstLine="643" w:firstLineChars="200"/>
        <w:textAlignment w:val="auto"/>
        <w:rPr>
          <w:rFonts w:ascii="楷体" w:hAnsi="楷体" w:eastAsia="楷体" w:cs="楷体"/>
          <w:b/>
          <w:bCs/>
          <w:sz w:val="32"/>
          <w:szCs w:val="32"/>
          <w:highlight w:val="none"/>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三</w:t>
      </w: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城乡社区支出</w:t>
      </w:r>
      <w:r>
        <w:rPr>
          <w:rFonts w:hint="eastAsia" w:ascii="楷体" w:hAnsi="楷体" w:eastAsia="楷体" w:cs="楷体"/>
          <w:b/>
          <w:bCs/>
          <w:sz w:val="32"/>
          <w:szCs w:val="32"/>
          <w:highlight w:val="none"/>
        </w:rPr>
        <w:t>（类）</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eastAsia="仿宋_GB2312"/>
          <w:sz w:val="32"/>
          <w:szCs w:val="32"/>
          <w:highlight w:val="none"/>
        </w:rPr>
      </w:pPr>
      <w:r>
        <w:rPr>
          <w:rFonts w:hint="eastAsia" w:eastAsia="仿宋_GB2312"/>
          <w:sz w:val="32"/>
          <w:szCs w:val="32"/>
          <w:highlight w:val="none"/>
          <w:lang w:eastAsia="zh-CN"/>
        </w:rPr>
        <w:t>城乡社区支出</w:t>
      </w:r>
      <w:r>
        <w:rPr>
          <w:rFonts w:hint="eastAsia" w:eastAsia="仿宋_GB2312"/>
          <w:sz w:val="32"/>
          <w:szCs w:val="32"/>
          <w:highlight w:val="none"/>
        </w:rPr>
        <w:t>类预算数为</w:t>
      </w:r>
      <w:r>
        <w:rPr>
          <w:rFonts w:hint="eastAsia" w:eastAsia="仿宋_GB2312"/>
          <w:sz w:val="32"/>
          <w:szCs w:val="32"/>
          <w:highlight w:val="none"/>
          <w:lang w:val="en-US" w:eastAsia="zh-CN"/>
        </w:rPr>
        <w:t>567.12</w:t>
      </w:r>
      <w:r>
        <w:rPr>
          <w:rFonts w:eastAsia="仿宋_GB2312"/>
          <w:sz w:val="32"/>
          <w:szCs w:val="32"/>
          <w:highlight w:val="none"/>
        </w:rPr>
        <w:t>万元</w:t>
      </w:r>
      <w:r>
        <w:rPr>
          <w:rFonts w:hint="eastAsia" w:eastAsia="仿宋_GB2312"/>
          <w:sz w:val="32"/>
          <w:szCs w:val="32"/>
          <w:highlight w:val="none"/>
        </w:rPr>
        <w:t>，与上年相比</w:t>
      </w:r>
      <w:r>
        <w:rPr>
          <w:rFonts w:eastAsia="仿宋_GB2312"/>
          <w:sz w:val="32"/>
          <w:szCs w:val="32"/>
          <w:highlight w:val="none"/>
        </w:rPr>
        <w:t>增加</w:t>
      </w:r>
      <w:r>
        <w:rPr>
          <w:rFonts w:hint="eastAsia" w:eastAsia="仿宋_GB2312"/>
          <w:sz w:val="32"/>
          <w:szCs w:val="32"/>
          <w:highlight w:val="none"/>
          <w:lang w:val="en-US" w:eastAsia="zh-CN"/>
        </w:rPr>
        <w:t>61.01</w:t>
      </w:r>
      <w:r>
        <w:rPr>
          <w:rFonts w:eastAsia="仿宋_GB2312"/>
          <w:sz w:val="32"/>
          <w:szCs w:val="32"/>
          <w:highlight w:val="none"/>
        </w:rPr>
        <w:t>万元</w:t>
      </w:r>
      <w:r>
        <w:rPr>
          <w:rFonts w:hint="eastAsia" w:eastAsia="仿宋_GB2312"/>
          <w:sz w:val="32"/>
          <w:szCs w:val="32"/>
          <w:highlight w:val="none"/>
        </w:rPr>
        <w:t>。其中：</w:t>
      </w:r>
    </w:p>
    <w:p>
      <w:pPr>
        <w:pStyle w:val="11"/>
        <w:tabs>
          <w:tab w:val="left" w:pos="1389"/>
          <w:tab w:val="left" w:pos="4911"/>
          <w:tab w:val="left" w:pos="5898"/>
        </w:tabs>
        <w:spacing w:after="0" w:line="600" w:lineRule="exact"/>
        <w:ind w:firstLine="640" w:firstLineChars="200"/>
        <w:rPr>
          <w:rFonts w:hint="eastAsia" w:ascii="仿宋_GB2312" w:eastAsia="仿宋_GB2312"/>
          <w:sz w:val="32"/>
          <w:szCs w:val="32"/>
        </w:rPr>
      </w:pPr>
      <w:r>
        <w:rPr>
          <w:rFonts w:hint="eastAsia" w:ascii="仿宋_GB2312" w:eastAsia="仿宋_GB2312"/>
          <w:b w:val="0"/>
          <w:bCs w:val="0"/>
          <w:sz w:val="32"/>
          <w:szCs w:val="32"/>
          <w:lang w:val="en-US" w:eastAsia="zh-CN"/>
        </w:rPr>
        <w:t>1.</w:t>
      </w:r>
      <w:r>
        <w:rPr>
          <w:rFonts w:hint="eastAsia" w:ascii="仿宋_GB2312" w:eastAsia="仿宋_GB2312"/>
          <w:b w:val="0"/>
          <w:bCs w:val="0"/>
          <w:sz w:val="32"/>
          <w:szCs w:val="32"/>
        </w:rPr>
        <w:t>城乡社区管理事务（款）机关服务（项）</w:t>
      </w:r>
      <w:r>
        <w:rPr>
          <w:rFonts w:eastAsia="仿宋_GB2312"/>
          <w:sz w:val="32"/>
          <w:szCs w:val="32"/>
          <w:highlight w:val="none"/>
        </w:rPr>
        <w:t>。预算</w:t>
      </w:r>
      <w:r>
        <w:rPr>
          <w:rFonts w:hint="eastAsia" w:eastAsia="仿宋_GB2312"/>
          <w:sz w:val="32"/>
          <w:szCs w:val="32"/>
          <w:highlight w:val="none"/>
          <w:lang w:eastAsia="zh-CN"/>
        </w:rPr>
        <w:t>数为</w:t>
      </w:r>
      <w:r>
        <w:rPr>
          <w:rFonts w:hint="eastAsia" w:eastAsia="仿宋_GB2312"/>
          <w:sz w:val="32"/>
          <w:szCs w:val="32"/>
          <w:highlight w:val="none"/>
          <w:lang w:val="en-US" w:eastAsia="zh-CN"/>
        </w:rPr>
        <w:t>557.12</w:t>
      </w:r>
      <w:r>
        <w:rPr>
          <w:rFonts w:eastAsia="仿宋_GB2312"/>
          <w:sz w:val="32"/>
          <w:szCs w:val="32"/>
          <w:highlight w:val="none"/>
        </w:rPr>
        <w:t>万元，与上年相比增加</w:t>
      </w:r>
      <w:r>
        <w:rPr>
          <w:rFonts w:hint="eastAsia" w:eastAsia="仿宋_GB2312"/>
          <w:sz w:val="32"/>
          <w:szCs w:val="32"/>
          <w:highlight w:val="none"/>
          <w:lang w:val="en-US" w:eastAsia="zh-CN"/>
        </w:rPr>
        <w:t>61.01</w:t>
      </w:r>
      <w:r>
        <w:rPr>
          <w:rFonts w:eastAsia="仿宋_GB2312"/>
          <w:sz w:val="32"/>
          <w:szCs w:val="32"/>
          <w:highlight w:val="none"/>
        </w:rPr>
        <w:t>万元，增长</w:t>
      </w:r>
      <w:r>
        <w:rPr>
          <w:rFonts w:hint="eastAsia" w:eastAsia="仿宋_GB2312"/>
          <w:sz w:val="32"/>
          <w:szCs w:val="32"/>
          <w:highlight w:val="none"/>
          <w:lang w:val="en-US" w:eastAsia="zh-CN"/>
        </w:rPr>
        <w:t>12.29</w:t>
      </w:r>
      <w:r>
        <w:rPr>
          <w:rFonts w:hint="eastAsia" w:ascii="仿宋_GB2312" w:hAnsi="仿宋_GB2312" w:eastAsia="仿宋_GB2312"/>
          <w:sz w:val="32"/>
          <w:szCs w:val="32"/>
          <w:highlight w:val="none"/>
          <w:lang w:eastAsia="zh-CN"/>
        </w:rPr>
        <w:t>%</w:t>
      </w:r>
      <w:r>
        <w:rPr>
          <w:rFonts w:eastAsia="仿宋_GB2312"/>
          <w:sz w:val="32"/>
          <w:szCs w:val="32"/>
          <w:highlight w:val="none"/>
        </w:rPr>
        <w:t>。变动原因：</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人员增加，人员经费也增加。</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lang w:val="en-US"/>
        </w:rPr>
      </w:pPr>
      <w:r>
        <w:rPr>
          <w:rFonts w:hint="eastAsia" w:eastAsia="仿宋_GB2312"/>
          <w:sz w:val="32"/>
          <w:szCs w:val="32"/>
          <w:lang w:val="en-US" w:eastAsia="zh-CN"/>
        </w:rPr>
        <w:t>2.</w:t>
      </w:r>
      <w:r>
        <w:rPr>
          <w:rFonts w:hint="eastAsia" w:ascii="仿宋_GB2312" w:hAnsi="仿宋_GB2312" w:eastAsia="仿宋_GB2312" w:cs="仿宋_GB2312"/>
          <w:b w:val="0"/>
          <w:bCs w:val="0"/>
          <w:sz w:val="32"/>
          <w:szCs w:val="32"/>
        </w:rPr>
        <w:t>其他城乡社区支出（款）其他城乡社区支出（项）</w:t>
      </w:r>
      <w:r>
        <w:rPr>
          <w:rFonts w:hint="eastAsia" w:ascii="仿宋_GB2312" w:hAnsi="仿宋_GB2312" w:eastAsia="仿宋_GB2312" w:cs="仿宋_GB2312"/>
          <w:b w:val="0"/>
          <w:bCs w:val="0"/>
          <w:sz w:val="32"/>
          <w:szCs w:val="32"/>
          <w:highlight w:val="none"/>
        </w:rPr>
        <w:t>。预算</w:t>
      </w:r>
      <w:r>
        <w:rPr>
          <w:rFonts w:hint="eastAsia" w:ascii="仿宋_GB2312" w:hAnsi="仿宋_GB2312" w:eastAsia="仿宋_GB2312" w:cs="仿宋_GB2312"/>
          <w:b w:val="0"/>
          <w:bCs w:val="0"/>
          <w:sz w:val="32"/>
          <w:szCs w:val="32"/>
          <w:highlight w:val="none"/>
          <w:lang w:eastAsia="zh-CN"/>
        </w:rPr>
        <w:t>数为</w:t>
      </w:r>
      <w:r>
        <w:rPr>
          <w:rFonts w:hint="eastAsia" w:ascii="仿宋_GB2312" w:hAnsi="仿宋_GB2312" w:eastAsia="仿宋_GB2312" w:cs="仿宋_GB2312"/>
          <w:b w:val="0"/>
          <w:bCs w:val="0"/>
          <w:sz w:val="32"/>
          <w:szCs w:val="32"/>
          <w:highlight w:val="none"/>
          <w:lang w:val="en-US" w:eastAsia="zh-CN"/>
        </w:rPr>
        <w:t>10</w:t>
      </w:r>
      <w:r>
        <w:rPr>
          <w:rFonts w:hint="eastAsia" w:ascii="仿宋_GB2312" w:hAnsi="仿宋_GB2312" w:eastAsia="仿宋_GB2312" w:cs="仿宋_GB2312"/>
          <w:b w:val="0"/>
          <w:bCs w:val="0"/>
          <w:sz w:val="32"/>
          <w:szCs w:val="32"/>
          <w:highlight w:val="none"/>
        </w:rPr>
        <w:t>万元，与上年相比增加</w:t>
      </w:r>
      <w:r>
        <w:rPr>
          <w:rFonts w:hint="eastAsia" w:ascii="仿宋_GB2312" w:hAnsi="仿宋_GB2312" w:eastAsia="仿宋_GB2312" w:cs="仿宋_GB2312"/>
          <w:b w:val="0"/>
          <w:bCs w:val="0"/>
          <w:sz w:val="32"/>
          <w:szCs w:val="32"/>
          <w:highlight w:val="none"/>
          <w:lang w:val="en-US" w:eastAsia="zh-CN"/>
        </w:rPr>
        <w:t>0</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0</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eastAsia="仿宋_GB2312"/>
          <w:color w:val="auto"/>
          <w:sz w:val="32"/>
          <w:szCs w:val="32"/>
          <w:lang w:val="en-US" w:eastAsia="zh-CN"/>
        </w:rPr>
        <w:t>本年其他城乡社区支出无变动。</w:t>
      </w:r>
    </w:p>
    <w:p>
      <w:pPr>
        <w:pStyle w:val="11"/>
        <w:keepNext w:val="0"/>
        <w:keepLines w:val="0"/>
        <w:pageBreakBefore w:val="0"/>
        <w:widowControl w:val="0"/>
        <w:tabs>
          <w:tab w:val="left" w:pos="4275"/>
        </w:tabs>
        <w:kinsoku/>
        <w:wordWrap/>
        <w:overflowPunct/>
        <w:topLinePunct w:val="0"/>
        <w:autoSpaceDE/>
        <w:autoSpaceDN/>
        <w:bidi w:val="0"/>
        <w:spacing w:after="0" w:line="600" w:lineRule="exact"/>
        <w:ind w:firstLine="643" w:firstLineChars="200"/>
        <w:textAlignment w:val="auto"/>
        <w:rPr>
          <w:rFonts w:ascii="楷体" w:hAnsi="楷体" w:eastAsia="楷体" w:cs="楷体"/>
          <w:b/>
          <w:bCs/>
          <w:sz w:val="32"/>
          <w:szCs w:val="32"/>
          <w:highlight w:val="none"/>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四</w:t>
      </w:r>
      <w:bookmarkStart w:id="4" w:name="_GoBack"/>
      <w:bookmarkEnd w:id="4"/>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住房保障支出</w:t>
      </w:r>
      <w:r>
        <w:rPr>
          <w:rFonts w:hint="eastAsia" w:ascii="楷体" w:hAnsi="楷体" w:eastAsia="楷体" w:cs="楷体"/>
          <w:b/>
          <w:bCs/>
          <w:sz w:val="32"/>
          <w:szCs w:val="32"/>
          <w:highlight w:val="none"/>
        </w:rPr>
        <w:t>（类）</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住房保障支出</w:t>
      </w:r>
      <w:r>
        <w:rPr>
          <w:rFonts w:hint="eastAsia" w:ascii="仿宋_GB2312" w:hAnsi="仿宋_GB2312" w:eastAsia="仿宋_GB2312" w:cs="仿宋_GB2312"/>
          <w:b w:val="0"/>
          <w:bCs w:val="0"/>
          <w:sz w:val="32"/>
          <w:szCs w:val="32"/>
          <w:highlight w:val="none"/>
        </w:rPr>
        <w:t>类预算数为</w:t>
      </w:r>
      <w:r>
        <w:rPr>
          <w:rFonts w:hint="eastAsia" w:ascii="仿宋_GB2312" w:hAnsi="仿宋_GB2312" w:eastAsia="仿宋_GB2312" w:cs="仿宋_GB2312"/>
          <w:b w:val="0"/>
          <w:bCs w:val="0"/>
          <w:sz w:val="32"/>
          <w:szCs w:val="32"/>
          <w:highlight w:val="none"/>
          <w:u w:val="none"/>
          <w:lang w:val="en-US" w:eastAsia="zh-CN"/>
        </w:rPr>
        <w:t>60.97</w:t>
      </w:r>
      <w:r>
        <w:rPr>
          <w:rFonts w:hint="eastAsia" w:ascii="仿宋_GB2312" w:hAnsi="仿宋_GB2312" w:eastAsia="仿宋_GB2312" w:cs="仿宋_GB2312"/>
          <w:b w:val="0"/>
          <w:bCs w:val="0"/>
          <w:sz w:val="32"/>
          <w:szCs w:val="32"/>
          <w:highlight w:val="none"/>
        </w:rPr>
        <w:t>万元，与上年相比</w:t>
      </w:r>
      <w:r>
        <w:rPr>
          <w:rFonts w:hint="eastAsia" w:ascii="仿宋_GB2312" w:hAnsi="仿宋_GB2312" w:eastAsia="仿宋_GB2312" w:cs="仿宋_GB2312"/>
          <w:b w:val="0"/>
          <w:bCs w:val="0"/>
          <w:sz w:val="32"/>
          <w:szCs w:val="32"/>
          <w:highlight w:val="none"/>
          <w:lang w:eastAsia="zh-CN"/>
        </w:rPr>
        <w:t>增加</w:t>
      </w:r>
      <w:r>
        <w:rPr>
          <w:rFonts w:hint="eastAsia" w:ascii="仿宋_GB2312" w:hAnsi="仿宋_GB2312" w:eastAsia="仿宋_GB2312" w:cs="仿宋_GB2312"/>
          <w:b w:val="0"/>
          <w:bCs w:val="0"/>
          <w:sz w:val="32"/>
          <w:szCs w:val="32"/>
          <w:highlight w:val="none"/>
          <w:lang w:val="en-US" w:eastAsia="zh-CN"/>
        </w:rPr>
        <w:t>6.9</w:t>
      </w:r>
      <w:r>
        <w:rPr>
          <w:rFonts w:hint="eastAsia" w:ascii="仿宋_GB2312" w:hAnsi="仿宋_GB2312" w:eastAsia="仿宋_GB2312" w:cs="仿宋_GB2312"/>
          <w:b w:val="0"/>
          <w:bCs w:val="0"/>
          <w:sz w:val="32"/>
          <w:szCs w:val="32"/>
          <w:highlight w:val="none"/>
        </w:rPr>
        <w:t>万元。其中：</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lang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住房改革支出（款）住房公积金（项）</w:t>
      </w:r>
      <w:r>
        <w:rPr>
          <w:rFonts w:hint="eastAsia" w:ascii="仿宋_GB2312" w:hAnsi="仿宋_GB2312" w:eastAsia="仿宋_GB2312" w:cs="仿宋_GB2312"/>
          <w:b w:val="0"/>
          <w:bCs w:val="0"/>
          <w:sz w:val="32"/>
          <w:szCs w:val="32"/>
          <w:highlight w:val="none"/>
        </w:rPr>
        <w:t>。预算</w:t>
      </w:r>
      <w:r>
        <w:rPr>
          <w:rFonts w:hint="eastAsia" w:ascii="仿宋_GB2312" w:hAnsi="仿宋_GB2312" w:eastAsia="仿宋_GB2312" w:cs="仿宋_GB2312"/>
          <w:b w:val="0"/>
          <w:bCs w:val="0"/>
          <w:sz w:val="32"/>
          <w:szCs w:val="32"/>
          <w:highlight w:val="none"/>
          <w:lang w:eastAsia="zh-CN"/>
        </w:rPr>
        <w:t>数为</w:t>
      </w:r>
      <w:r>
        <w:rPr>
          <w:rFonts w:hint="eastAsia" w:ascii="仿宋_GB2312" w:hAnsi="仿宋_GB2312" w:eastAsia="仿宋_GB2312" w:cs="仿宋_GB2312"/>
          <w:b w:val="0"/>
          <w:bCs w:val="0"/>
          <w:sz w:val="32"/>
          <w:szCs w:val="32"/>
          <w:highlight w:val="none"/>
          <w:lang w:val="en-US" w:eastAsia="zh-CN"/>
        </w:rPr>
        <w:t>54.07</w:t>
      </w:r>
      <w:r>
        <w:rPr>
          <w:rFonts w:hint="eastAsia" w:ascii="仿宋_GB2312" w:hAnsi="仿宋_GB2312" w:eastAsia="仿宋_GB2312" w:cs="仿宋_GB2312"/>
          <w:b w:val="0"/>
          <w:bCs w:val="0"/>
          <w:sz w:val="32"/>
          <w:szCs w:val="32"/>
          <w:highlight w:val="none"/>
        </w:rPr>
        <w:t>万元，与上年相比增加</w:t>
      </w:r>
      <w:r>
        <w:rPr>
          <w:rFonts w:hint="eastAsia" w:ascii="仿宋_GB2312" w:hAnsi="仿宋_GB2312" w:eastAsia="仿宋_GB2312" w:cs="仿宋_GB2312"/>
          <w:b w:val="0"/>
          <w:bCs w:val="0"/>
          <w:sz w:val="32"/>
          <w:szCs w:val="32"/>
          <w:highlight w:val="none"/>
          <w:lang w:val="en-US" w:eastAsia="zh-CN"/>
        </w:rPr>
        <w:t>6.9</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12.76</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人员增加，公积金也增加。</w:t>
      </w:r>
    </w:p>
    <w:p>
      <w:pPr>
        <w:spacing w:line="600" w:lineRule="exact"/>
        <w:ind w:firstLine="640" w:firstLineChars="200"/>
        <w:outlineLvl w:val="2"/>
        <w:rPr>
          <w:rFonts w:eastAsia="黑体" w:cs="黑体"/>
          <w:sz w:val="32"/>
          <w:szCs w:val="36"/>
        </w:rPr>
      </w:pPr>
      <w:r>
        <w:rPr>
          <w:rFonts w:hint="eastAsia" w:eastAsia="黑体" w:cs="黑体"/>
          <w:sz w:val="32"/>
          <w:szCs w:val="36"/>
        </w:rPr>
        <w:t>六、一般公共预算基本支出预算情况说明</w:t>
      </w:r>
    </w:p>
    <w:p>
      <w:pPr>
        <w:pStyle w:val="11"/>
        <w:tabs>
          <w:tab w:val="left" w:pos="2671"/>
          <w:tab w:val="left" w:pos="5000"/>
          <w:tab w:val="left" w:pos="6190"/>
        </w:tabs>
        <w:spacing w:after="0" w:line="600" w:lineRule="exact"/>
        <w:ind w:firstLine="640" w:firstLineChars="200"/>
        <w:rPr>
          <w:rFonts w:eastAsia="仿宋_GB2312" w:cs="仿宋"/>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hint="eastAsia" w:eastAsia="仿宋_GB2312" w:cs="仿宋"/>
          <w:sz w:val="32"/>
          <w:szCs w:val="32"/>
        </w:rPr>
        <w:t>年度一般公共预算财政拨款基本支出预算</w:t>
      </w:r>
      <w:r>
        <w:rPr>
          <w:rFonts w:hint="eastAsia" w:eastAsia="仿宋_GB2312" w:cs="仿宋"/>
          <w:sz w:val="32"/>
          <w:szCs w:val="32"/>
          <w:lang w:val="en-US" w:eastAsia="zh-CN"/>
        </w:rPr>
        <w:t>762.98</w:t>
      </w:r>
      <w:r>
        <w:rPr>
          <w:rFonts w:hint="eastAsia" w:eastAsia="仿宋_GB2312" w:cs="仿宋"/>
          <w:sz w:val="32"/>
          <w:szCs w:val="32"/>
        </w:rPr>
        <w:t>万元，其中：</w:t>
      </w:r>
    </w:p>
    <w:p>
      <w:pPr>
        <w:pStyle w:val="11"/>
        <w:numPr>
          <w:ilvl w:val="0"/>
          <w:numId w:val="2"/>
        </w:numPr>
        <w:tabs>
          <w:tab w:val="left" w:pos="2671"/>
          <w:tab w:val="left" w:pos="5000"/>
          <w:tab w:val="left" w:pos="6190"/>
        </w:tabs>
        <w:spacing w:after="0" w:line="600" w:lineRule="exact"/>
        <w:ind w:firstLine="643" w:firstLineChars="200"/>
        <w:rPr>
          <w:rFonts w:hint="eastAsia" w:eastAsia="仿宋_GB2312" w:cs="仿宋"/>
          <w:sz w:val="32"/>
          <w:szCs w:val="32"/>
        </w:rPr>
      </w:pPr>
      <w:r>
        <w:rPr>
          <w:rFonts w:hint="eastAsia" w:eastAsia="仿宋_GB2312" w:cs="仿宋"/>
          <w:b/>
          <w:bCs/>
          <w:sz w:val="32"/>
          <w:szCs w:val="32"/>
        </w:rPr>
        <w:t>人员经费</w:t>
      </w:r>
      <w:r>
        <w:rPr>
          <w:rFonts w:hint="eastAsia" w:eastAsia="仿宋_GB2312" w:cs="仿宋"/>
          <w:b/>
          <w:bCs/>
          <w:sz w:val="32"/>
          <w:szCs w:val="32"/>
          <w:lang w:val="en-US" w:eastAsia="zh-CN"/>
        </w:rPr>
        <w:t>709.21</w:t>
      </w:r>
      <w:r>
        <w:rPr>
          <w:rFonts w:hint="eastAsia" w:eastAsia="仿宋_GB2312" w:cs="仿宋"/>
          <w:b/>
          <w:bCs/>
          <w:sz w:val="32"/>
          <w:szCs w:val="32"/>
        </w:rPr>
        <w:t>万元</w:t>
      </w:r>
      <w:r>
        <w:rPr>
          <w:rFonts w:hint="eastAsia" w:eastAsia="仿宋_GB2312" w:cs="仿宋"/>
          <w:sz w:val="32"/>
          <w:szCs w:val="32"/>
        </w:rPr>
        <w:t>。主要包括：基本工资、津贴补贴、奖金、伙食补助费、绩效工资、住房公积金、医疗费、其他工资福利支出、离休费、退休费、抚恤金、奖励金、其他对个人和家庭的补助等。</w:t>
      </w:r>
    </w:p>
    <w:p>
      <w:pPr>
        <w:pStyle w:val="11"/>
        <w:keepNext w:val="0"/>
        <w:keepLines w:val="0"/>
        <w:pageBreakBefore w:val="0"/>
        <w:widowControl w:val="0"/>
        <w:kinsoku/>
        <w:wordWrap/>
        <w:overflowPunct/>
        <w:topLinePunct w:val="0"/>
        <w:autoSpaceDE/>
        <w:autoSpaceDN/>
        <w:bidi w:val="0"/>
        <w:spacing w:after="0" w:line="600" w:lineRule="exact"/>
        <w:ind w:firstLine="840" w:firstLineChars="400"/>
        <w:textAlignment w:val="auto"/>
        <w:rPr>
          <w:rFonts w:hint="eastAsia" w:ascii="Times New Roman" w:hAnsi="Times New Roman" w:eastAsia="仿宋_GB2312" w:cs="仿宋"/>
          <w:sz w:val="32"/>
          <w:szCs w:val="32"/>
          <w:highlight w:val="none"/>
          <w:u w:val="none"/>
        </w:rPr>
      </w:pPr>
      <w:r>
        <w:rPr>
          <w:rFonts w:hint="eastAsia" w:eastAsia="宋体"/>
          <w:lang w:val="en-US" w:eastAsia="zh-CN"/>
        </w:rPr>
        <w:t xml:space="preserve"> </w:t>
      </w:r>
      <w:r>
        <w:rPr>
          <w:rFonts w:hint="eastAsia" w:eastAsia="仿宋_GB2312"/>
          <w:sz w:val="32"/>
          <w:szCs w:val="32"/>
          <w:highlight w:val="none"/>
          <w:u w:val="none"/>
          <w:lang w:val="en-US" w:eastAsia="zh-CN"/>
        </w:rPr>
        <w:t>1.工资福利支出</w:t>
      </w:r>
      <w:r>
        <w:rPr>
          <w:rFonts w:hint="eastAsia" w:eastAsia="仿宋_GB2312"/>
          <w:sz w:val="32"/>
          <w:szCs w:val="32"/>
          <w:highlight w:val="none"/>
          <w:u w:val="none"/>
        </w:rPr>
        <w:t>类</w:t>
      </w:r>
      <w:r>
        <w:rPr>
          <w:rFonts w:hint="eastAsia" w:eastAsia="仿宋_GB2312"/>
          <w:sz w:val="32"/>
          <w:szCs w:val="32"/>
          <w:highlight w:val="none"/>
          <w:u w:val="none"/>
          <w:lang w:val="en-US" w:eastAsia="zh-CN"/>
        </w:rPr>
        <w:t>预算</w:t>
      </w:r>
      <w:r>
        <w:rPr>
          <w:rFonts w:hint="eastAsia" w:eastAsia="仿宋_GB2312"/>
          <w:sz w:val="32"/>
          <w:szCs w:val="32"/>
          <w:highlight w:val="none"/>
          <w:u w:val="none"/>
        </w:rPr>
        <w:t>数为</w:t>
      </w:r>
      <w:r>
        <w:rPr>
          <w:rFonts w:hint="eastAsia" w:eastAsia="仿宋_GB2312"/>
          <w:sz w:val="32"/>
          <w:szCs w:val="32"/>
          <w:highlight w:val="none"/>
          <w:u w:val="none"/>
          <w:lang w:val="en-US" w:eastAsia="zh-CN"/>
        </w:rPr>
        <w:t>682.64</w:t>
      </w:r>
      <w:r>
        <w:rPr>
          <w:rFonts w:eastAsia="仿宋_GB2312"/>
          <w:sz w:val="32"/>
          <w:szCs w:val="32"/>
          <w:highlight w:val="none"/>
          <w:u w:val="none"/>
        </w:rPr>
        <w:t>万元</w:t>
      </w:r>
      <w:r>
        <w:rPr>
          <w:rFonts w:hint="eastAsia" w:eastAsia="仿宋_GB2312"/>
          <w:sz w:val="32"/>
          <w:szCs w:val="32"/>
          <w:highlight w:val="none"/>
          <w:u w:val="none"/>
        </w:rPr>
        <w:t>。其中：</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eastAsia="仿宋_GB2312"/>
          <w:sz w:val="32"/>
          <w:szCs w:val="32"/>
          <w:lang w:val="en-US" w:eastAsia="zh-CN"/>
        </w:rPr>
      </w:pPr>
      <w:r>
        <w:rPr>
          <w:rFonts w:hint="eastAsia" w:eastAsia="仿宋_GB2312" w:cs="仿宋"/>
          <w:sz w:val="32"/>
          <w:szCs w:val="32"/>
          <w:highlight w:val="none"/>
          <w:u w:val="none"/>
          <w:lang w:eastAsia="zh-CN"/>
        </w:rPr>
        <w:t>（</w:t>
      </w:r>
      <w:r>
        <w:rPr>
          <w:rFonts w:hint="eastAsia" w:ascii="Times New Roman" w:hAnsi="Times New Roman" w:eastAsia="仿宋_GB2312" w:cs="仿宋"/>
          <w:sz w:val="32"/>
          <w:szCs w:val="32"/>
          <w:highlight w:val="none"/>
          <w:u w:val="none"/>
        </w:rPr>
        <w:t>1</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基本工资</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233.41</w:t>
      </w:r>
      <w:r>
        <w:rPr>
          <w:rFonts w:hint="eastAsia" w:ascii="Times New Roman" w:hAnsi="Times New Roman" w:eastAsia="仿宋_GB2312" w:cs="仿宋"/>
          <w:sz w:val="32"/>
          <w:szCs w:val="32"/>
          <w:highlight w:val="none"/>
          <w:u w:val="none"/>
        </w:rPr>
        <w:t>万元</w:t>
      </w:r>
      <w:r>
        <w:rPr>
          <w:rFonts w:hint="eastAsia" w:ascii="Times New Roman" w:hAnsi="Times New Roman" w:eastAsia="仿宋_GB2312" w:cs="仿宋"/>
          <w:sz w:val="32"/>
          <w:szCs w:val="32"/>
          <w:highlight w:val="none"/>
          <w:u w:val="none"/>
          <w:lang w:eastAsia="zh-CN"/>
        </w:rPr>
        <w:t>，</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41.7</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21.75</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人员增加，工资也增加。</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eastAsia="仿宋_GB2312"/>
          <w:sz w:val="32"/>
          <w:szCs w:val="32"/>
          <w:lang w:val="en-US"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2</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津贴补贴</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143.53</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10.72</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8.07</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人员增加，工资也增加。</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3</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绩效工资</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83.64</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增加</w:t>
      </w:r>
      <w:r>
        <w:rPr>
          <w:rFonts w:hint="eastAsia" w:ascii="仿宋_GB2312" w:hAnsi="仿宋_GB2312" w:eastAsia="仿宋_GB2312" w:cs="仿宋_GB2312"/>
          <w:b w:val="0"/>
          <w:bCs w:val="0"/>
          <w:sz w:val="32"/>
          <w:szCs w:val="32"/>
          <w:highlight w:val="none"/>
          <w:lang w:val="en-US" w:eastAsia="zh-CN"/>
        </w:rPr>
        <w:t>12.87</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增长</w:t>
      </w:r>
      <w:r>
        <w:rPr>
          <w:rFonts w:hint="eastAsia" w:ascii="仿宋_GB2312" w:hAnsi="仿宋_GB2312" w:eastAsia="仿宋_GB2312" w:cs="仿宋_GB2312"/>
          <w:b w:val="0"/>
          <w:bCs w:val="0"/>
          <w:sz w:val="32"/>
          <w:szCs w:val="32"/>
          <w:highlight w:val="none"/>
          <w:lang w:val="en-US" w:eastAsia="zh-CN"/>
        </w:rPr>
        <w:t>18.18</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人员增加，绩效工资也增加。</w:t>
      </w:r>
    </w:p>
    <w:p>
      <w:pPr>
        <w:pStyle w:val="11"/>
        <w:tabs>
          <w:tab w:val="left" w:pos="1389"/>
          <w:tab w:val="left" w:pos="4911"/>
          <w:tab w:val="left" w:pos="5898"/>
        </w:tabs>
        <w:spacing w:after="0" w:line="600" w:lineRule="exact"/>
        <w:ind w:firstLine="640" w:firstLineChars="200"/>
        <w:rPr>
          <w:rFonts w:hint="eastAsia" w:ascii="仿宋_GB2312" w:hAnsi="仿宋_GB2312" w:eastAsia="仿宋_GB2312" w:cs="仿宋_GB2312"/>
          <w:b w:val="0"/>
          <w:bCs w:val="0"/>
          <w:color w:val="FF0000"/>
          <w:sz w:val="32"/>
          <w:szCs w:val="32"/>
          <w:highlight w:val="none"/>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4</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机关事业单位基本养老保险缴费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64.44</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color w:val="auto"/>
          <w:sz w:val="32"/>
          <w:szCs w:val="32"/>
          <w:highlight w:val="none"/>
        </w:rPr>
        <w:t>与上年相比增加</w:t>
      </w:r>
      <w:r>
        <w:rPr>
          <w:rFonts w:hint="eastAsia" w:eastAsia="仿宋_GB2312"/>
          <w:b w:val="0"/>
          <w:bCs w:val="0"/>
          <w:color w:val="auto"/>
          <w:sz w:val="32"/>
          <w:szCs w:val="32"/>
          <w:lang w:val="en-US" w:eastAsia="zh-CN"/>
        </w:rPr>
        <w:t>9.68</w:t>
      </w:r>
      <w:r>
        <w:rPr>
          <w:rFonts w:hint="eastAsia" w:ascii="仿宋_GB2312" w:hAnsi="仿宋_GB2312" w:eastAsia="仿宋_GB2312" w:cs="仿宋_GB2312"/>
          <w:b w:val="0"/>
          <w:bCs w:val="0"/>
          <w:color w:val="auto"/>
          <w:sz w:val="32"/>
          <w:szCs w:val="32"/>
          <w:highlight w:val="none"/>
        </w:rPr>
        <w:t>万元，增长</w:t>
      </w:r>
      <w:r>
        <w:rPr>
          <w:rFonts w:hint="eastAsia" w:ascii="仿宋_GB2312" w:hAnsi="仿宋_GB2312" w:eastAsia="仿宋_GB2312" w:cs="仿宋_GB2312"/>
          <w:b w:val="0"/>
          <w:bCs w:val="0"/>
          <w:color w:val="auto"/>
          <w:sz w:val="32"/>
          <w:szCs w:val="32"/>
          <w:highlight w:val="none"/>
          <w:lang w:val="en-US" w:eastAsia="zh-CN"/>
        </w:rPr>
        <w:t>17.67</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。变动原因</w:t>
      </w:r>
      <w:r>
        <w:rPr>
          <w:rFonts w:hint="eastAsia" w:ascii="仿宋_GB2312" w:hAnsi="仿宋_GB2312" w:eastAsia="仿宋_GB2312" w:cs="仿宋_GB2312"/>
          <w:b w:val="0"/>
          <w:bCs w:val="0"/>
          <w:color w:val="auto"/>
          <w:sz w:val="32"/>
          <w:szCs w:val="32"/>
          <w:highlight w:val="none"/>
          <w:lang w:eastAsia="zh-CN"/>
        </w:rPr>
        <w:t>：</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人员增加，养老保险支出也增加</w:t>
      </w:r>
      <w:r>
        <w:rPr>
          <w:rFonts w:eastAsia="仿宋_GB2312"/>
          <w:sz w:val="32"/>
          <w:szCs w:val="32"/>
        </w:rPr>
        <w:t>。</w:t>
      </w:r>
    </w:p>
    <w:p>
      <w:pPr>
        <w:pStyle w:val="11"/>
        <w:tabs>
          <w:tab w:val="left" w:pos="1389"/>
          <w:tab w:val="left" w:pos="4911"/>
          <w:tab w:val="left" w:pos="5898"/>
        </w:tabs>
        <w:spacing w:after="0" w:line="600" w:lineRule="exact"/>
        <w:ind w:firstLine="640" w:firstLineChars="200"/>
        <w:rPr>
          <w:rFonts w:hint="eastAsia" w:ascii="仿宋_GB2312" w:hAnsi="仿宋_GB2312" w:eastAsia="仿宋_GB2312" w:cs="仿宋_GB2312"/>
          <w:b w:val="0"/>
          <w:bCs w:val="0"/>
          <w:color w:val="FF0000"/>
          <w:sz w:val="32"/>
          <w:szCs w:val="32"/>
          <w:highlight w:val="none"/>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5</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职工基本医疗保险缴费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31.67</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3.87</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13.92</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人员增加，医疗保险支出也增加</w:t>
      </w:r>
      <w:r>
        <w:rPr>
          <w:rFonts w:eastAsia="仿宋_GB2312"/>
          <w:sz w:val="32"/>
          <w:szCs w:val="32"/>
        </w:rPr>
        <w:t>。</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eastAsia="仿宋_GB2312"/>
          <w:sz w:val="32"/>
          <w:szCs w:val="32"/>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6</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公务员医疗补助缴费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14.75</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1.42</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10.65</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人员增加，公务员医疗保险支出也增加</w:t>
      </w:r>
      <w:r>
        <w:rPr>
          <w:rFonts w:eastAsia="仿宋_GB2312"/>
          <w:sz w:val="32"/>
          <w:szCs w:val="32"/>
        </w:rPr>
        <w:t>。</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7</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其它社会保险缴费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3.04</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0.43</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16.47</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w:t>
      </w:r>
      <w:r>
        <w:rPr>
          <w:rFonts w:hint="eastAsia" w:eastAsia="仿宋_GB2312" w:cs="仿宋"/>
          <w:sz w:val="32"/>
          <w:szCs w:val="32"/>
          <w:highlight w:val="none"/>
          <w:u w:val="none"/>
          <w:lang w:val="en-US" w:eastAsia="zh-CN"/>
        </w:rPr>
        <w:t>其它社会保险</w:t>
      </w:r>
      <w:r>
        <w:rPr>
          <w:rFonts w:hint="eastAsia" w:eastAsia="仿宋_GB2312"/>
          <w:sz w:val="32"/>
          <w:szCs w:val="32"/>
          <w:lang w:val="en-US" w:eastAsia="zh-CN"/>
        </w:rPr>
        <w:t>支出也增加</w:t>
      </w:r>
      <w:r>
        <w:rPr>
          <w:rFonts w:eastAsia="仿宋_GB2312"/>
          <w:sz w:val="32"/>
          <w:szCs w:val="32"/>
        </w:rPr>
        <w:t>。</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8</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住房公积金</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60.97</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6.9</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12.76</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color w:val="auto"/>
          <w:sz w:val="32"/>
          <w:szCs w:val="32"/>
          <w:lang w:eastAsia="zh-CN"/>
        </w:rPr>
        <w:t>我单位去年新调入科级干部</w:t>
      </w:r>
      <w:r>
        <w:rPr>
          <w:rFonts w:hint="eastAsia" w:eastAsia="仿宋_GB2312"/>
          <w:color w:val="auto"/>
          <w:sz w:val="32"/>
          <w:szCs w:val="32"/>
          <w:lang w:val="en-US" w:eastAsia="zh-CN"/>
        </w:rPr>
        <w:t>1</w:t>
      </w:r>
      <w:r>
        <w:rPr>
          <w:rFonts w:hint="eastAsia" w:eastAsia="仿宋_GB2312"/>
          <w:color w:val="auto"/>
          <w:sz w:val="32"/>
          <w:szCs w:val="32"/>
          <w:lang w:eastAsia="zh-CN"/>
        </w:rPr>
        <w:t>人，事业人员新招录</w:t>
      </w:r>
      <w:r>
        <w:rPr>
          <w:rFonts w:hint="eastAsia" w:eastAsia="仿宋_GB2312"/>
          <w:color w:val="auto"/>
          <w:sz w:val="32"/>
          <w:szCs w:val="32"/>
          <w:lang w:val="en-US" w:eastAsia="zh-CN"/>
        </w:rPr>
        <w:t>5人，</w:t>
      </w:r>
      <w:r>
        <w:rPr>
          <w:rFonts w:hint="eastAsia" w:eastAsia="仿宋_GB2312"/>
          <w:sz w:val="32"/>
          <w:szCs w:val="32"/>
          <w:lang w:val="en-US" w:eastAsia="zh-CN"/>
        </w:rPr>
        <w:t>人员增加，公积金也增加。</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lang w:val="en-US"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9</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其他工资福利支出</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47.19</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减少</w:t>
      </w:r>
      <w:r>
        <w:rPr>
          <w:rFonts w:hint="eastAsia" w:ascii="仿宋_GB2312" w:hAnsi="仿宋_GB2312" w:eastAsia="仿宋_GB2312" w:cs="仿宋_GB2312"/>
          <w:b w:val="0"/>
          <w:bCs w:val="0"/>
          <w:sz w:val="32"/>
          <w:szCs w:val="32"/>
          <w:highlight w:val="none"/>
          <w:lang w:val="en-US" w:eastAsia="zh-CN"/>
        </w:rPr>
        <w:t>7.85</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减少</w:t>
      </w:r>
      <w:r>
        <w:rPr>
          <w:rFonts w:hint="eastAsia" w:ascii="仿宋_GB2312" w:hAnsi="仿宋_GB2312" w:eastAsia="仿宋_GB2312" w:cs="仿宋_GB2312"/>
          <w:b w:val="0"/>
          <w:bCs w:val="0"/>
          <w:sz w:val="32"/>
          <w:szCs w:val="32"/>
          <w:highlight w:val="none"/>
          <w:lang w:val="en-US" w:eastAsia="zh-CN"/>
        </w:rPr>
        <w:t>14.26</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sz w:val="32"/>
          <w:szCs w:val="32"/>
          <w:lang w:val="en-US" w:eastAsia="zh-CN"/>
        </w:rPr>
        <w:t>2025年单位其他项工资审批金额相比以往年度有所下降，因此其他工资福利支出减少。</w:t>
      </w:r>
    </w:p>
    <w:p>
      <w:pPr>
        <w:pStyle w:val="11"/>
        <w:keepNext w:val="0"/>
        <w:keepLines w:val="0"/>
        <w:pageBreakBefore w:val="0"/>
        <w:widowControl w:val="0"/>
        <w:kinsoku/>
        <w:wordWrap/>
        <w:overflowPunct/>
        <w:topLinePunct w:val="0"/>
        <w:autoSpaceDE/>
        <w:autoSpaceDN/>
        <w:bidi w:val="0"/>
        <w:spacing w:after="0" w:line="600" w:lineRule="exact"/>
        <w:ind w:firstLine="960" w:firstLineChars="300"/>
        <w:textAlignment w:val="auto"/>
        <w:rPr>
          <w:rFonts w:hint="eastAsia" w:ascii="Times New Roman" w:hAnsi="Times New Roman" w:eastAsia="仿宋_GB2312" w:cs="仿宋"/>
          <w:sz w:val="32"/>
          <w:szCs w:val="32"/>
          <w:highlight w:val="none"/>
          <w:u w:val="none"/>
        </w:rPr>
      </w:pPr>
      <w:r>
        <w:rPr>
          <w:rFonts w:hint="eastAsia" w:eastAsia="仿宋_GB2312"/>
          <w:sz w:val="32"/>
          <w:szCs w:val="32"/>
          <w:highlight w:val="none"/>
          <w:u w:val="none"/>
          <w:lang w:val="en-US" w:eastAsia="zh-CN"/>
        </w:rPr>
        <w:t>2.对个人和家庭的补助</w:t>
      </w:r>
      <w:r>
        <w:rPr>
          <w:rFonts w:hint="eastAsia" w:eastAsia="仿宋_GB2312"/>
          <w:sz w:val="32"/>
          <w:szCs w:val="32"/>
          <w:highlight w:val="none"/>
          <w:u w:val="none"/>
        </w:rPr>
        <w:t>类</w:t>
      </w:r>
      <w:r>
        <w:rPr>
          <w:rFonts w:hint="eastAsia" w:eastAsia="仿宋_GB2312"/>
          <w:sz w:val="32"/>
          <w:szCs w:val="32"/>
          <w:highlight w:val="none"/>
          <w:u w:val="none"/>
          <w:lang w:eastAsia="zh-CN"/>
        </w:rPr>
        <w:t>预</w:t>
      </w:r>
      <w:r>
        <w:rPr>
          <w:rFonts w:hint="eastAsia" w:eastAsia="仿宋_GB2312"/>
          <w:sz w:val="32"/>
          <w:szCs w:val="32"/>
          <w:highlight w:val="none"/>
          <w:u w:val="none"/>
          <w:lang w:val="en-US" w:eastAsia="zh-CN"/>
        </w:rPr>
        <w:t>算</w:t>
      </w:r>
      <w:r>
        <w:rPr>
          <w:rFonts w:hint="eastAsia" w:eastAsia="仿宋_GB2312"/>
          <w:sz w:val="32"/>
          <w:szCs w:val="32"/>
          <w:highlight w:val="none"/>
          <w:u w:val="none"/>
        </w:rPr>
        <w:t>数为</w:t>
      </w:r>
      <w:r>
        <w:rPr>
          <w:rFonts w:hint="eastAsia" w:eastAsia="仿宋_GB2312"/>
          <w:sz w:val="32"/>
          <w:szCs w:val="32"/>
          <w:highlight w:val="none"/>
          <w:u w:val="none"/>
          <w:lang w:val="en-US" w:eastAsia="zh-CN"/>
        </w:rPr>
        <w:t>26.56</w:t>
      </w:r>
      <w:r>
        <w:rPr>
          <w:rFonts w:eastAsia="仿宋_GB2312"/>
          <w:sz w:val="32"/>
          <w:szCs w:val="32"/>
          <w:highlight w:val="none"/>
          <w:u w:val="none"/>
        </w:rPr>
        <w:t>万元</w:t>
      </w:r>
      <w:r>
        <w:rPr>
          <w:rFonts w:hint="eastAsia" w:eastAsia="仿宋_GB2312"/>
          <w:sz w:val="32"/>
          <w:szCs w:val="32"/>
          <w:highlight w:val="none"/>
          <w:u w:val="none"/>
        </w:rPr>
        <w:t>。其中：</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eastAsia="仿宋_GB2312"/>
          <w:b w:val="0"/>
          <w:bCs w:val="0"/>
          <w:sz w:val="32"/>
          <w:szCs w:val="32"/>
          <w:highlight w:val="none"/>
          <w:lang w:val="en-US" w:eastAsia="zh-CN"/>
        </w:rPr>
      </w:pPr>
      <w:r>
        <w:rPr>
          <w:rFonts w:hint="eastAsia" w:eastAsia="仿宋_GB2312" w:cs="仿宋"/>
          <w:sz w:val="32"/>
          <w:szCs w:val="32"/>
          <w:highlight w:val="none"/>
          <w:u w:val="none"/>
          <w:lang w:eastAsia="zh-CN"/>
        </w:rPr>
        <w:t>（</w:t>
      </w:r>
      <w:r>
        <w:rPr>
          <w:rFonts w:hint="eastAsia" w:ascii="Times New Roman" w:hAnsi="Times New Roman" w:eastAsia="仿宋_GB2312" w:cs="仿宋"/>
          <w:sz w:val="32"/>
          <w:szCs w:val="32"/>
          <w:highlight w:val="none"/>
          <w:u w:val="none"/>
        </w:rPr>
        <w:t>1</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退休费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20.99</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减少</w:t>
      </w:r>
      <w:r>
        <w:rPr>
          <w:rFonts w:hint="eastAsia" w:ascii="仿宋_GB2312" w:hAnsi="仿宋_GB2312" w:eastAsia="仿宋_GB2312" w:cs="仿宋_GB2312"/>
          <w:b w:val="0"/>
          <w:bCs w:val="0"/>
          <w:sz w:val="32"/>
          <w:szCs w:val="32"/>
          <w:highlight w:val="none"/>
          <w:lang w:val="en-US" w:eastAsia="zh-CN"/>
        </w:rPr>
        <w:t>14.5</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减少</w:t>
      </w:r>
      <w:r>
        <w:rPr>
          <w:rFonts w:hint="eastAsia" w:ascii="仿宋_GB2312" w:hAnsi="仿宋_GB2312" w:eastAsia="仿宋_GB2312" w:cs="仿宋_GB2312"/>
          <w:b w:val="0"/>
          <w:bCs w:val="0"/>
          <w:sz w:val="32"/>
          <w:szCs w:val="32"/>
          <w:highlight w:val="none"/>
          <w:lang w:val="en-US" w:eastAsia="zh-CN"/>
        </w:rPr>
        <w:t>40.85</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eastAsia="仿宋_GB2312"/>
          <w:sz w:val="32"/>
          <w:szCs w:val="32"/>
          <w:highlight w:val="none"/>
          <w:lang w:val="en-US" w:eastAsia="zh-CN"/>
        </w:rPr>
        <w:t>2025年4月开始，按照市财政要求，对单位退休人员停止发放交通补贴和通讯补贴，因此本年会减少</w:t>
      </w:r>
      <w:r>
        <w:rPr>
          <w:rFonts w:hint="eastAsia" w:ascii="仿宋_GB2312" w:eastAsia="仿宋_GB2312"/>
          <w:b w:val="0"/>
          <w:bCs w:val="0"/>
          <w:sz w:val="32"/>
          <w:szCs w:val="32"/>
          <w:lang w:val="en-US" w:eastAsia="zh-CN"/>
        </w:rPr>
        <w:t>。</w:t>
      </w:r>
    </w:p>
    <w:p>
      <w:pPr>
        <w:pStyle w:val="11"/>
        <w:keepNext w:val="0"/>
        <w:keepLines w:val="0"/>
        <w:pageBreakBefore w:val="0"/>
        <w:widowControl w:val="0"/>
        <w:kinsoku/>
        <w:wordWrap/>
        <w:overflowPunct/>
        <w:topLinePunct w:val="0"/>
        <w:autoSpaceDE/>
        <w:autoSpaceDN/>
        <w:bidi w:val="0"/>
        <w:adjustRightInd/>
        <w:snapToGrid/>
        <w:spacing w:after="0" w:line="600" w:lineRule="exact"/>
        <w:ind w:firstLine="320" w:firstLineChars="100"/>
        <w:textAlignment w:val="auto"/>
        <w:rPr>
          <w:rFonts w:hint="eastAsia" w:ascii="仿宋_GB2312" w:eastAsia="仿宋_GB2312"/>
          <w:b w:val="0"/>
          <w:bCs w:val="0"/>
          <w:sz w:val="32"/>
          <w:szCs w:val="32"/>
          <w:lang w:val="en-US" w:eastAsia="zh-CN"/>
        </w:rPr>
      </w:pPr>
      <w:r>
        <w:rPr>
          <w:rFonts w:hint="eastAsia" w:eastAsia="仿宋_GB2312"/>
          <w:b w:val="0"/>
          <w:bCs w:val="0"/>
          <w:sz w:val="32"/>
          <w:szCs w:val="32"/>
          <w:highlight w:val="none"/>
          <w:lang w:val="en-US" w:eastAsia="zh-CN"/>
        </w:rPr>
        <w:t xml:space="preserve"> </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2</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生活补助</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5.57</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0.3</w:t>
      </w:r>
      <w:r>
        <w:rPr>
          <w:rFonts w:hint="eastAsia" w:ascii="仿宋_GB2312" w:hAnsi="仿宋_GB2312" w:eastAsia="仿宋_GB2312" w:cs="仿宋_GB2312"/>
          <w:b w:val="0"/>
          <w:bCs w:val="0"/>
          <w:sz w:val="32"/>
          <w:szCs w:val="32"/>
          <w:highlight w:val="none"/>
        </w:rPr>
        <w:t>万元，增长</w:t>
      </w:r>
      <w:r>
        <w:rPr>
          <w:rFonts w:hint="eastAsia" w:eastAsia="仿宋_GB2312"/>
          <w:b w:val="0"/>
          <w:bCs w:val="0"/>
          <w:sz w:val="32"/>
          <w:szCs w:val="32"/>
          <w:highlight w:val="none"/>
          <w:lang w:val="en-US" w:eastAsia="zh-CN"/>
        </w:rPr>
        <w:t>5.69</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2025</w:t>
      </w:r>
      <w:r>
        <w:rPr>
          <w:rFonts w:hint="eastAsia" w:ascii="仿宋_GB2312" w:eastAsia="仿宋_GB2312"/>
          <w:b w:val="0"/>
          <w:bCs w:val="0"/>
          <w:sz w:val="32"/>
          <w:szCs w:val="32"/>
          <w:lang w:val="en-US" w:eastAsia="zh-CN"/>
        </w:rPr>
        <w:t>年末，遗属生活补助进行了调标。</w:t>
      </w:r>
    </w:p>
    <w:p>
      <w:pPr>
        <w:pStyle w:val="11"/>
        <w:tabs>
          <w:tab w:val="left" w:pos="2671"/>
          <w:tab w:val="left" w:pos="5000"/>
          <w:tab w:val="left" w:pos="6190"/>
        </w:tabs>
        <w:spacing w:after="0" w:line="600" w:lineRule="exact"/>
        <w:ind w:firstLine="643" w:firstLineChars="200"/>
        <w:rPr>
          <w:rFonts w:eastAsia="仿宋_GB2312" w:cs="仿宋"/>
          <w:sz w:val="32"/>
          <w:szCs w:val="32"/>
        </w:rPr>
      </w:pPr>
      <w:r>
        <w:rPr>
          <w:rFonts w:hint="eastAsia" w:eastAsia="仿宋_GB2312" w:cs="仿宋"/>
          <w:b/>
          <w:bCs/>
          <w:sz w:val="32"/>
          <w:szCs w:val="32"/>
        </w:rPr>
        <w:t>（二）公用经费</w:t>
      </w:r>
      <w:r>
        <w:rPr>
          <w:rFonts w:hint="eastAsia" w:eastAsia="仿宋_GB2312" w:cs="仿宋"/>
          <w:b/>
          <w:bCs/>
          <w:sz w:val="32"/>
          <w:szCs w:val="32"/>
          <w:lang w:val="en-US" w:eastAsia="zh-CN"/>
        </w:rPr>
        <w:t>43.78</w:t>
      </w:r>
      <w:r>
        <w:rPr>
          <w:rFonts w:hint="eastAsia" w:eastAsia="仿宋_GB2312" w:cs="仿宋"/>
          <w:b/>
          <w:bCs/>
          <w:sz w:val="32"/>
          <w:szCs w:val="32"/>
        </w:rPr>
        <w:t>万元</w:t>
      </w:r>
      <w:r>
        <w:rPr>
          <w:rFonts w:hint="eastAsia" w:eastAsia="仿宋_GB2312" w:cs="仿宋"/>
          <w:sz w:val="32"/>
          <w:szCs w:val="32"/>
        </w:rPr>
        <w:t>。主要包括：办公费、印刷费、咨询费、手续费、水费、电费、邮电费、取暖费、物业管理费、差旅费、维修（护）费、租赁费、会议费、培训费、公务接待费、专用材料费、劳务费、委托业务费、工会经费、福利费、公务用车运行维护费、其他交通费用、其他商品和服务支出、办公设备购置、专用设备购置、信息网络及软件购置更新、其他资本性支出等。</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ascii="Times New Roman" w:hAnsi="Times New Roman" w:eastAsia="仿宋_GB2312" w:cs="仿宋"/>
          <w:sz w:val="32"/>
          <w:szCs w:val="32"/>
          <w:highlight w:val="none"/>
          <w:u w:val="none"/>
        </w:rPr>
      </w:pPr>
      <w:r>
        <w:rPr>
          <w:rFonts w:hint="eastAsia" w:eastAsia="仿宋_GB2312"/>
          <w:sz w:val="32"/>
          <w:szCs w:val="32"/>
          <w:highlight w:val="none"/>
          <w:u w:val="none"/>
          <w:lang w:val="en-US" w:eastAsia="zh-CN"/>
        </w:rPr>
        <w:t>1.商品和服务支出</w:t>
      </w:r>
      <w:r>
        <w:rPr>
          <w:rFonts w:hint="eastAsia" w:eastAsia="仿宋_GB2312"/>
          <w:sz w:val="32"/>
          <w:szCs w:val="32"/>
          <w:highlight w:val="none"/>
          <w:u w:val="none"/>
        </w:rPr>
        <w:t>类</w:t>
      </w:r>
      <w:r>
        <w:rPr>
          <w:rFonts w:hint="eastAsia" w:eastAsia="仿宋_GB2312"/>
          <w:sz w:val="32"/>
          <w:szCs w:val="32"/>
          <w:highlight w:val="none"/>
          <w:u w:val="none"/>
          <w:lang w:val="en-US" w:eastAsia="zh-CN"/>
        </w:rPr>
        <w:t>预算</w:t>
      </w:r>
      <w:r>
        <w:rPr>
          <w:rFonts w:hint="eastAsia" w:eastAsia="仿宋_GB2312"/>
          <w:sz w:val="32"/>
          <w:szCs w:val="32"/>
          <w:highlight w:val="none"/>
          <w:u w:val="none"/>
        </w:rPr>
        <w:t>数为</w:t>
      </w:r>
      <w:r>
        <w:rPr>
          <w:rFonts w:hint="eastAsia" w:eastAsia="仿宋_GB2312"/>
          <w:sz w:val="32"/>
          <w:szCs w:val="32"/>
          <w:highlight w:val="none"/>
          <w:u w:val="none"/>
          <w:lang w:val="en-US" w:eastAsia="zh-CN"/>
        </w:rPr>
        <w:t>40.2</w:t>
      </w:r>
      <w:r>
        <w:rPr>
          <w:rFonts w:eastAsia="仿宋_GB2312"/>
          <w:sz w:val="32"/>
          <w:szCs w:val="32"/>
          <w:highlight w:val="none"/>
          <w:u w:val="none"/>
        </w:rPr>
        <w:t>万元</w:t>
      </w:r>
      <w:r>
        <w:rPr>
          <w:rFonts w:hint="eastAsia" w:eastAsia="仿宋_GB2312"/>
          <w:sz w:val="32"/>
          <w:szCs w:val="32"/>
          <w:highlight w:val="none"/>
          <w:u w:val="none"/>
        </w:rPr>
        <w:t>。其中：</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eastAsia="仿宋_GB2312" w:cs="仿宋"/>
          <w:sz w:val="32"/>
          <w:szCs w:val="32"/>
          <w:highlight w:val="none"/>
          <w:u w:val="none"/>
          <w:lang w:eastAsia="zh-CN"/>
        </w:rPr>
        <w:t>（</w:t>
      </w:r>
      <w:r>
        <w:rPr>
          <w:rFonts w:hint="eastAsia" w:ascii="Times New Roman" w:hAnsi="Times New Roman" w:eastAsia="仿宋_GB2312" w:cs="仿宋"/>
          <w:sz w:val="32"/>
          <w:szCs w:val="32"/>
          <w:highlight w:val="none"/>
          <w:u w:val="none"/>
        </w:rPr>
        <w:t>1</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办公费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10.73</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0.95</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9.71</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2025年末的人员和支出情况，合理对2026年在职公务费预算进行细化，给其他支出进行额度减少。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s="仿宋"/>
          <w:sz w:val="32"/>
          <w:szCs w:val="32"/>
          <w:highlight w:val="none"/>
          <w:u w:val="none"/>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2</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印刷费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ascii="Times New Roman" w:hAnsi="Times New Roman" w:eastAsia="仿宋_GB2312" w:cs="仿宋"/>
          <w:sz w:val="32"/>
          <w:szCs w:val="32"/>
          <w:highlight w:val="none"/>
          <w:u w:val="none"/>
        </w:rPr>
        <w:t xml:space="preserve"> </w:t>
      </w:r>
      <w:r>
        <w:rPr>
          <w:rFonts w:hint="eastAsia" w:eastAsia="仿宋_GB2312" w:cs="仿宋"/>
          <w:sz w:val="32"/>
          <w:szCs w:val="32"/>
          <w:highlight w:val="none"/>
          <w:u w:val="none"/>
          <w:lang w:val="en-US" w:eastAsia="zh-CN"/>
        </w:rPr>
        <w:t>0.5</w:t>
      </w:r>
      <w:r>
        <w:rPr>
          <w:rFonts w:hint="eastAsia" w:ascii="Times New Roman" w:hAnsi="Times New Roman" w:eastAsia="仿宋_GB2312" w:cs="仿宋"/>
          <w:sz w:val="32"/>
          <w:szCs w:val="32"/>
          <w:highlight w:val="none"/>
          <w:u w:val="none"/>
        </w:rPr>
        <w:t xml:space="preserve"> 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0.5</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100</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2026年根据市财政预算要求，印刷费安排在在职公务费，因此印刷费增长幅度大。</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lang w:val="en-US" w:eastAsia="zh-CN"/>
        </w:rPr>
      </w:pPr>
      <w:r>
        <w:rPr>
          <w:rFonts w:hint="eastAsia" w:eastAsia="仿宋_GB2312" w:cs="仿宋"/>
          <w:sz w:val="32"/>
          <w:szCs w:val="32"/>
          <w:highlight w:val="none"/>
          <w:u w:val="none"/>
          <w:lang w:val="en-US" w:eastAsia="zh-CN"/>
        </w:rPr>
        <w:t>（3）水费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ascii="Times New Roman" w:hAnsi="Times New Roman" w:eastAsia="仿宋_GB2312" w:cs="仿宋"/>
          <w:sz w:val="32"/>
          <w:szCs w:val="32"/>
          <w:highlight w:val="none"/>
          <w:u w:val="none"/>
        </w:rPr>
        <w:t xml:space="preserve"> </w:t>
      </w:r>
      <w:r>
        <w:rPr>
          <w:rFonts w:hint="eastAsia" w:eastAsia="仿宋_GB2312" w:cs="仿宋"/>
          <w:sz w:val="32"/>
          <w:szCs w:val="32"/>
          <w:highlight w:val="none"/>
          <w:u w:val="none"/>
          <w:lang w:val="en-US" w:eastAsia="zh-CN"/>
        </w:rPr>
        <w:t>0.06</w:t>
      </w:r>
      <w:r>
        <w:rPr>
          <w:rFonts w:hint="eastAsia" w:ascii="Times New Roman" w:hAnsi="Times New Roman" w:eastAsia="仿宋_GB2312" w:cs="仿宋"/>
          <w:sz w:val="32"/>
          <w:szCs w:val="32"/>
          <w:highlight w:val="none"/>
          <w:u w:val="none"/>
        </w:rPr>
        <w:t xml:space="preserve"> 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减少</w:t>
      </w:r>
      <w:r>
        <w:rPr>
          <w:rFonts w:hint="eastAsia" w:ascii="仿宋_GB2312" w:hAnsi="仿宋_GB2312" w:eastAsia="仿宋_GB2312" w:cs="仿宋_GB2312"/>
          <w:b w:val="0"/>
          <w:bCs w:val="0"/>
          <w:sz w:val="32"/>
          <w:szCs w:val="32"/>
          <w:highlight w:val="none"/>
          <w:lang w:val="en-US" w:eastAsia="zh-CN"/>
        </w:rPr>
        <w:t>0.2</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减少</w:t>
      </w:r>
      <w:r>
        <w:rPr>
          <w:rFonts w:hint="eastAsia" w:ascii="仿宋_GB2312" w:hAnsi="仿宋_GB2312" w:eastAsia="仿宋_GB2312" w:cs="仿宋_GB2312"/>
          <w:b w:val="0"/>
          <w:bCs w:val="0"/>
          <w:sz w:val="32"/>
          <w:szCs w:val="32"/>
          <w:highlight w:val="none"/>
          <w:lang w:val="en-US" w:eastAsia="zh-CN"/>
        </w:rPr>
        <w:t>76.92</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2025年末，由于水费结余较多，我单位将结余水费进行预交，因此本年预算安排较少。</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4</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电费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ascii="Times New Roman" w:hAnsi="Times New Roman" w:eastAsia="仿宋_GB2312" w:cs="仿宋"/>
          <w:sz w:val="32"/>
          <w:szCs w:val="32"/>
          <w:highlight w:val="none"/>
          <w:u w:val="none"/>
        </w:rPr>
        <w:t xml:space="preserve"> </w:t>
      </w:r>
      <w:r>
        <w:rPr>
          <w:rFonts w:hint="eastAsia" w:eastAsia="仿宋_GB2312" w:cs="仿宋"/>
          <w:sz w:val="32"/>
          <w:szCs w:val="32"/>
          <w:highlight w:val="none"/>
          <w:u w:val="none"/>
          <w:lang w:val="en-US" w:eastAsia="zh-CN"/>
        </w:rPr>
        <w:t>2.4</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0.84</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53.84</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：人员增加后，办公室使用率增加。</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lang w:val="en-US"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5</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邮电费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0.72</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0.11</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18.03</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2025年根据2025年支出情况，预计2026年邮寄费会增加，因此有所增加。</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default"/>
          <w:lang w:val="en-US"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6</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取暖费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7.06</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减少</w:t>
      </w:r>
      <w:r>
        <w:rPr>
          <w:rFonts w:hint="eastAsia" w:ascii="仿宋_GB2312" w:hAnsi="仿宋_GB2312" w:eastAsia="仿宋_GB2312" w:cs="仿宋_GB2312"/>
          <w:b w:val="0"/>
          <w:bCs w:val="0"/>
          <w:sz w:val="32"/>
          <w:szCs w:val="32"/>
          <w:highlight w:val="none"/>
          <w:lang w:val="en-US" w:eastAsia="zh-CN"/>
        </w:rPr>
        <w:t>0</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减少</w:t>
      </w:r>
      <w:r>
        <w:rPr>
          <w:rFonts w:hint="eastAsia" w:ascii="仿宋_GB2312" w:hAnsi="仿宋_GB2312" w:eastAsia="仿宋_GB2312" w:cs="仿宋_GB2312"/>
          <w:b w:val="0"/>
          <w:bCs w:val="0"/>
          <w:sz w:val="32"/>
          <w:szCs w:val="32"/>
          <w:highlight w:val="none"/>
          <w:lang w:val="en-US" w:eastAsia="zh-CN"/>
        </w:rPr>
        <w:t>0</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：与</w:t>
      </w:r>
      <w:r>
        <w:rPr>
          <w:rFonts w:hint="eastAsia" w:ascii="仿宋_GB2312" w:hAnsi="仿宋_GB2312" w:eastAsia="仿宋_GB2312" w:cs="仿宋_GB2312"/>
          <w:b w:val="0"/>
          <w:bCs w:val="0"/>
          <w:sz w:val="32"/>
          <w:szCs w:val="32"/>
          <w:highlight w:val="none"/>
          <w:lang w:val="en-US" w:eastAsia="zh-CN"/>
        </w:rPr>
        <w:t>2025年预算数持平。</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7</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物业管理费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7.98</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增加</w:t>
      </w:r>
      <w:r>
        <w:rPr>
          <w:rFonts w:hint="eastAsia" w:ascii="仿宋_GB2312" w:hAnsi="仿宋_GB2312" w:eastAsia="仿宋_GB2312" w:cs="仿宋_GB2312"/>
          <w:b w:val="0"/>
          <w:bCs w:val="0"/>
          <w:sz w:val="32"/>
          <w:szCs w:val="32"/>
          <w:highlight w:val="none"/>
          <w:lang w:val="en-US" w:eastAsia="zh-CN"/>
        </w:rPr>
        <w:t>0.24</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增长</w:t>
      </w:r>
      <w:r>
        <w:rPr>
          <w:rFonts w:hint="eastAsia" w:ascii="仿宋_GB2312" w:hAnsi="仿宋_GB2312" w:eastAsia="仿宋_GB2312" w:cs="仿宋_GB2312"/>
          <w:b w:val="0"/>
          <w:bCs w:val="0"/>
          <w:sz w:val="32"/>
          <w:szCs w:val="32"/>
          <w:highlight w:val="none"/>
          <w:lang w:val="en-US" w:eastAsia="zh-CN"/>
        </w:rPr>
        <w:t>3.08</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2025年，物业公司对物业费进行上调，因此物业费有所增加。</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eastAsia="仿宋_GB2312"/>
          <w:lang w:val="en-US" w:eastAsia="zh-CN"/>
        </w:rPr>
      </w:pPr>
      <w:r>
        <w:rPr>
          <w:rFonts w:hint="eastAsia" w:eastAsia="仿宋_GB2312" w:cs="仿宋"/>
          <w:sz w:val="32"/>
          <w:szCs w:val="32"/>
          <w:highlight w:val="none"/>
          <w:u w:val="none"/>
          <w:lang w:val="en-US" w:eastAsia="zh-CN"/>
        </w:rPr>
        <w:t>（8）培训费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0.4</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增加</w:t>
      </w:r>
      <w:r>
        <w:rPr>
          <w:rFonts w:hint="eastAsia" w:ascii="仿宋_GB2312" w:hAnsi="仿宋_GB2312" w:eastAsia="仿宋_GB2312" w:cs="仿宋_GB2312"/>
          <w:b w:val="0"/>
          <w:bCs w:val="0"/>
          <w:sz w:val="32"/>
          <w:szCs w:val="32"/>
          <w:highlight w:val="none"/>
          <w:lang w:val="en-US" w:eastAsia="zh-CN"/>
        </w:rPr>
        <w:t>0.4</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增长</w:t>
      </w:r>
      <w:r>
        <w:rPr>
          <w:rFonts w:hint="eastAsia" w:ascii="仿宋_GB2312" w:hAnsi="仿宋_GB2312" w:eastAsia="仿宋_GB2312" w:cs="仿宋_GB2312"/>
          <w:b w:val="0"/>
          <w:bCs w:val="0"/>
          <w:sz w:val="32"/>
          <w:szCs w:val="32"/>
          <w:highlight w:val="none"/>
          <w:lang w:val="en-US" w:eastAsia="zh-CN"/>
        </w:rPr>
        <w:t>100</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2026年根据市财政预算要求，单位职工党校培训费安排在在职公务费，因此培训费增长幅度大。</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s="仿宋"/>
          <w:sz w:val="32"/>
          <w:szCs w:val="32"/>
          <w:highlight w:val="none"/>
          <w:u w:val="none"/>
          <w:lang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9</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公务接待费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0.1</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增加</w:t>
      </w:r>
      <w:r>
        <w:rPr>
          <w:rFonts w:hint="eastAsia" w:ascii="仿宋_GB2312" w:hAnsi="仿宋_GB2312" w:eastAsia="仿宋_GB2312" w:cs="仿宋_GB2312"/>
          <w:b w:val="0"/>
          <w:bCs w:val="0"/>
          <w:sz w:val="32"/>
          <w:szCs w:val="32"/>
          <w:highlight w:val="none"/>
          <w:lang w:val="en-US" w:eastAsia="zh-CN"/>
        </w:rPr>
        <w:t>0.1</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增长</w:t>
      </w:r>
      <w:r>
        <w:rPr>
          <w:rFonts w:hint="eastAsia" w:ascii="仿宋_GB2312" w:hAnsi="仿宋_GB2312" w:eastAsia="仿宋_GB2312" w:cs="仿宋_GB2312"/>
          <w:b w:val="0"/>
          <w:bCs w:val="0"/>
          <w:sz w:val="32"/>
          <w:szCs w:val="32"/>
          <w:highlight w:val="none"/>
          <w:lang w:val="en-US" w:eastAsia="zh-CN"/>
        </w:rPr>
        <w:t>100</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2026年根据市财政预算要求，公务接待安排在在职公务费，因此公务接待费增长幅度大。</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eastAsia="仿宋_GB2312"/>
          <w:lang w:val="en-US"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10</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工会经费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7.55</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增加</w:t>
      </w:r>
      <w:r>
        <w:rPr>
          <w:rFonts w:hint="eastAsia" w:ascii="仿宋_GB2312" w:hAnsi="仿宋_GB2312" w:eastAsia="仿宋_GB2312" w:cs="仿宋_GB2312"/>
          <w:b w:val="0"/>
          <w:bCs w:val="0"/>
          <w:sz w:val="32"/>
          <w:szCs w:val="32"/>
          <w:highlight w:val="none"/>
          <w:lang w:val="en-US" w:eastAsia="zh-CN"/>
        </w:rPr>
        <w:t>0.24</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增长</w:t>
      </w:r>
      <w:r>
        <w:rPr>
          <w:rFonts w:hint="eastAsia" w:ascii="仿宋_GB2312" w:hAnsi="仿宋_GB2312" w:eastAsia="仿宋_GB2312" w:cs="仿宋_GB2312"/>
          <w:b w:val="0"/>
          <w:bCs w:val="0"/>
          <w:sz w:val="32"/>
          <w:szCs w:val="32"/>
          <w:highlight w:val="none"/>
          <w:lang w:val="en-US" w:eastAsia="zh-CN"/>
        </w:rPr>
        <w:t>3.28</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2026年预算在职人数较2025年人数增加，因此工费经费相应有所增加。</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11</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公务用车运行维护费</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ascii="Times New Roman" w:hAnsi="Times New Roman" w:eastAsia="仿宋_GB2312" w:cs="仿宋"/>
          <w:sz w:val="32"/>
          <w:szCs w:val="32"/>
          <w:highlight w:val="none"/>
          <w:u w:val="none"/>
        </w:rPr>
        <w:t xml:space="preserve"> </w:t>
      </w:r>
      <w:r>
        <w:rPr>
          <w:rFonts w:hint="eastAsia" w:eastAsia="仿宋_GB2312" w:cs="仿宋"/>
          <w:sz w:val="32"/>
          <w:szCs w:val="32"/>
          <w:highlight w:val="none"/>
          <w:u w:val="none"/>
          <w:lang w:val="en-US" w:eastAsia="zh-CN"/>
        </w:rPr>
        <w:t>1.5</w:t>
      </w:r>
      <w:r>
        <w:rPr>
          <w:rFonts w:hint="eastAsia" w:ascii="Times New Roman" w:hAnsi="Times New Roman" w:eastAsia="仿宋_GB2312" w:cs="仿宋"/>
          <w:sz w:val="32"/>
          <w:szCs w:val="32"/>
          <w:highlight w:val="none"/>
          <w:u w:val="none"/>
        </w:rPr>
        <w:t xml:space="preserve"> 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0</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0</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：与</w:t>
      </w:r>
      <w:r>
        <w:rPr>
          <w:rFonts w:hint="eastAsia" w:ascii="仿宋_GB2312" w:hAnsi="仿宋_GB2312" w:eastAsia="仿宋_GB2312" w:cs="仿宋_GB2312"/>
          <w:b w:val="0"/>
          <w:bCs w:val="0"/>
          <w:sz w:val="32"/>
          <w:szCs w:val="32"/>
          <w:highlight w:val="none"/>
          <w:lang w:val="en-US" w:eastAsia="zh-CN"/>
        </w:rPr>
        <w:t>2025年预算数持平。</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12</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其他商品和服务支出</w:t>
      </w:r>
      <w:r>
        <w:rPr>
          <w:rFonts w:hint="eastAsia" w:ascii="Times New Roman" w:hAnsi="Times New Roman" w:eastAsia="仿宋_GB2312" w:cs="仿宋"/>
          <w:sz w:val="32"/>
          <w:szCs w:val="32"/>
          <w:highlight w:val="none"/>
          <w:u w:val="none"/>
        </w:rPr>
        <w:t>（款）。</w:t>
      </w:r>
      <w:r>
        <w:rPr>
          <w:rFonts w:hint="eastAsia" w:eastAsia="仿宋_GB2312" w:cs="仿宋"/>
          <w:sz w:val="32"/>
          <w:szCs w:val="32"/>
          <w:highlight w:val="none"/>
          <w:u w:val="none"/>
          <w:lang w:eastAsia="zh-CN"/>
        </w:rPr>
        <w:t>预算数为</w:t>
      </w:r>
      <w:r>
        <w:rPr>
          <w:rFonts w:hint="eastAsia" w:eastAsia="仿宋_GB2312" w:cs="仿宋"/>
          <w:sz w:val="32"/>
          <w:szCs w:val="32"/>
          <w:highlight w:val="none"/>
          <w:u w:val="none"/>
          <w:lang w:val="en-US" w:eastAsia="zh-CN"/>
        </w:rPr>
        <w:t>1.2</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与上年相比增加</w:t>
      </w:r>
      <w:r>
        <w:rPr>
          <w:rFonts w:hint="eastAsia" w:ascii="仿宋_GB2312" w:hAnsi="仿宋_GB2312" w:eastAsia="仿宋_GB2312" w:cs="仿宋_GB2312"/>
          <w:b w:val="0"/>
          <w:bCs w:val="0"/>
          <w:sz w:val="32"/>
          <w:szCs w:val="32"/>
          <w:highlight w:val="none"/>
          <w:lang w:val="en-US" w:eastAsia="zh-CN"/>
        </w:rPr>
        <w:t>1.2</w:t>
      </w:r>
      <w:r>
        <w:rPr>
          <w:rFonts w:hint="eastAsia" w:ascii="仿宋_GB2312" w:hAnsi="仿宋_GB2312" w:eastAsia="仿宋_GB2312" w:cs="仿宋_GB2312"/>
          <w:b w:val="0"/>
          <w:bCs w:val="0"/>
          <w:sz w:val="32"/>
          <w:szCs w:val="32"/>
          <w:highlight w:val="none"/>
        </w:rPr>
        <w:t>万元，增长</w:t>
      </w:r>
      <w:r>
        <w:rPr>
          <w:rFonts w:hint="eastAsia" w:ascii="仿宋_GB2312" w:hAnsi="仿宋_GB2312" w:eastAsia="仿宋_GB2312" w:cs="仿宋_GB2312"/>
          <w:b w:val="0"/>
          <w:bCs w:val="0"/>
          <w:sz w:val="32"/>
          <w:szCs w:val="32"/>
          <w:highlight w:val="none"/>
          <w:lang w:val="en-US" w:eastAsia="zh-CN"/>
        </w:rPr>
        <w:t>100</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2025年妇女卫生费使用的福利费科目，2026年统一使用其他商品和服务支出，因此</w:t>
      </w:r>
      <w:r>
        <w:rPr>
          <w:rFonts w:hint="eastAsia" w:eastAsia="仿宋_GB2312" w:cs="仿宋"/>
          <w:sz w:val="32"/>
          <w:szCs w:val="32"/>
          <w:highlight w:val="none"/>
          <w:u w:val="none"/>
          <w:lang w:val="en-US" w:eastAsia="zh-CN"/>
        </w:rPr>
        <w:t>其他商品和服务支出</w:t>
      </w:r>
      <w:r>
        <w:rPr>
          <w:rFonts w:hint="eastAsia" w:ascii="仿宋_GB2312" w:hAnsi="仿宋_GB2312" w:eastAsia="仿宋_GB2312" w:cs="仿宋_GB2312"/>
          <w:b w:val="0"/>
          <w:bCs w:val="0"/>
          <w:sz w:val="32"/>
          <w:szCs w:val="32"/>
          <w:highlight w:val="none"/>
          <w:lang w:val="en-US" w:eastAsia="zh-CN"/>
        </w:rPr>
        <w:t>有所增长。</w:t>
      </w:r>
    </w:p>
    <w:p>
      <w:pPr>
        <w:pStyle w:val="11"/>
        <w:keepNext w:val="0"/>
        <w:keepLines w:val="0"/>
        <w:pageBreakBefore w:val="0"/>
        <w:widowControl w:val="0"/>
        <w:kinsoku/>
        <w:wordWrap/>
        <w:overflowPunct/>
        <w:topLinePunct w:val="0"/>
        <w:autoSpaceDE/>
        <w:autoSpaceDN/>
        <w:bidi w:val="0"/>
        <w:spacing w:after="0" w:line="600" w:lineRule="exact"/>
        <w:ind w:firstLine="640" w:firstLineChars="200"/>
        <w:textAlignment w:val="auto"/>
        <w:rPr>
          <w:rFonts w:hint="eastAsia" w:ascii="Times New Roman" w:hAnsi="Times New Roman" w:eastAsia="仿宋_GB2312" w:cs="仿宋"/>
          <w:sz w:val="32"/>
          <w:szCs w:val="32"/>
          <w:highlight w:val="none"/>
          <w:u w:val="none"/>
        </w:rPr>
      </w:pPr>
      <w:r>
        <w:rPr>
          <w:rFonts w:hint="eastAsia" w:eastAsia="仿宋_GB2312"/>
          <w:sz w:val="32"/>
          <w:szCs w:val="32"/>
          <w:highlight w:val="none"/>
          <w:u w:val="none"/>
          <w:lang w:val="en-US" w:eastAsia="zh-CN"/>
        </w:rPr>
        <w:t>2.资本性支出预算</w:t>
      </w:r>
      <w:r>
        <w:rPr>
          <w:rFonts w:hint="eastAsia" w:eastAsia="仿宋_GB2312"/>
          <w:sz w:val="32"/>
          <w:szCs w:val="32"/>
          <w:highlight w:val="none"/>
          <w:u w:val="none"/>
        </w:rPr>
        <w:t>数为</w:t>
      </w:r>
      <w:r>
        <w:rPr>
          <w:rFonts w:hint="eastAsia" w:eastAsia="仿宋_GB2312"/>
          <w:sz w:val="32"/>
          <w:szCs w:val="32"/>
          <w:highlight w:val="none"/>
          <w:u w:val="none"/>
          <w:lang w:val="en-US" w:eastAsia="zh-CN"/>
        </w:rPr>
        <w:t>3.58</w:t>
      </w:r>
      <w:r>
        <w:rPr>
          <w:rFonts w:eastAsia="仿宋_GB2312"/>
          <w:sz w:val="32"/>
          <w:szCs w:val="32"/>
          <w:highlight w:val="none"/>
          <w:u w:val="none"/>
        </w:rPr>
        <w:t>万元</w:t>
      </w:r>
      <w:r>
        <w:rPr>
          <w:rFonts w:hint="eastAsia" w:eastAsia="仿宋_GB2312"/>
          <w:sz w:val="32"/>
          <w:szCs w:val="32"/>
          <w:highlight w:val="none"/>
          <w:u w:val="none"/>
        </w:rPr>
        <w:t>。其中：</w:t>
      </w:r>
    </w:p>
    <w:p>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r>
        <w:rPr>
          <w:rFonts w:hint="eastAsia" w:eastAsia="仿宋_GB2312" w:cs="仿宋"/>
          <w:sz w:val="32"/>
          <w:szCs w:val="32"/>
          <w:highlight w:val="none"/>
          <w:u w:val="none"/>
          <w:lang w:eastAsia="zh-CN"/>
        </w:rPr>
        <w:t>（</w:t>
      </w:r>
      <w:r>
        <w:rPr>
          <w:rFonts w:hint="eastAsia" w:ascii="Times New Roman" w:hAnsi="Times New Roman" w:eastAsia="仿宋_GB2312" w:cs="仿宋"/>
          <w:sz w:val="32"/>
          <w:szCs w:val="32"/>
          <w:highlight w:val="none"/>
          <w:u w:val="none"/>
        </w:rPr>
        <w:t>1</w:t>
      </w:r>
      <w:r>
        <w:rPr>
          <w:rFonts w:hint="eastAsia" w:eastAsia="仿宋_GB2312" w:cs="仿宋"/>
          <w:sz w:val="32"/>
          <w:szCs w:val="32"/>
          <w:highlight w:val="none"/>
          <w:u w:val="none"/>
          <w:lang w:eastAsia="zh-CN"/>
        </w:rPr>
        <w:t>）</w:t>
      </w:r>
      <w:r>
        <w:rPr>
          <w:rFonts w:hint="eastAsia" w:eastAsia="仿宋_GB2312" w:cs="仿宋"/>
          <w:sz w:val="32"/>
          <w:szCs w:val="32"/>
          <w:highlight w:val="none"/>
          <w:u w:val="none"/>
          <w:lang w:val="en-US" w:eastAsia="zh-CN"/>
        </w:rPr>
        <w:t>办公设备购置</w:t>
      </w:r>
      <w:r>
        <w:rPr>
          <w:rFonts w:hint="eastAsia" w:ascii="Times New Roman" w:hAnsi="Times New Roman" w:eastAsia="仿宋_GB2312" w:cs="仿宋"/>
          <w:sz w:val="32"/>
          <w:szCs w:val="32"/>
          <w:highlight w:val="none"/>
          <w:u w:val="none"/>
        </w:rPr>
        <w:t>（款）。预算</w:t>
      </w:r>
      <w:r>
        <w:rPr>
          <w:rFonts w:hint="eastAsia" w:eastAsia="仿宋_GB2312" w:cs="仿宋"/>
          <w:sz w:val="32"/>
          <w:szCs w:val="32"/>
          <w:highlight w:val="none"/>
          <w:u w:val="none"/>
          <w:lang w:eastAsia="zh-CN"/>
        </w:rPr>
        <w:t>数为</w:t>
      </w:r>
      <w:r>
        <w:rPr>
          <w:rFonts w:hint="eastAsia" w:eastAsia="仿宋_GB2312" w:cs="仿宋"/>
          <w:sz w:val="32"/>
          <w:szCs w:val="32"/>
          <w:highlight w:val="none"/>
          <w:u w:val="none"/>
          <w:lang w:val="en-US" w:eastAsia="zh-CN"/>
        </w:rPr>
        <w:t>3.58</w:t>
      </w:r>
      <w:r>
        <w:rPr>
          <w:rFonts w:hint="eastAsia" w:ascii="Times New Roman" w:hAnsi="Times New Roman" w:eastAsia="仿宋_GB2312" w:cs="仿宋"/>
          <w:sz w:val="32"/>
          <w:szCs w:val="32"/>
          <w:highlight w:val="none"/>
          <w:u w:val="none"/>
        </w:rPr>
        <w:t>万元，</w:t>
      </w:r>
      <w:r>
        <w:rPr>
          <w:rFonts w:hint="eastAsia" w:ascii="仿宋_GB2312" w:hAnsi="仿宋_GB2312" w:eastAsia="仿宋_GB2312" w:cs="仿宋_GB2312"/>
          <w:b w:val="0"/>
          <w:bCs w:val="0"/>
          <w:sz w:val="32"/>
          <w:szCs w:val="32"/>
          <w:highlight w:val="none"/>
        </w:rPr>
        <w:t>与上年相比</w:t>
      </w:r>
      <w:r>
        <w:rPr>
          <w:rFonts w:hint="eastAsia" w:ascii="仿宋_GB2312" w:hAnsi="仿宋_GB2312" w:eastAsia="仿宋_GB2312" w:cs="仿宋_GB2312"/>
          <w:b w:val="0"/>
          <w:bCs w:val="0"/>
          <w:sz w:val="32"/>
          <w:szCs w:val="32"/>
          <w:highlight w:val="none"/>
          <w:lang w:eastAsia="zh-CN"/>
        </w:rPr>
        <w:t>增加</w:t>
      </w:r>
      <w:r>
        <w:rPr>
          <w:rFonts w:hint="eastAsia" w:ascii="仿宋_GB2312" w:hAnsi="仿宋_GB2312" w:eastAsia="仿宋_GB2312" w:cs="仿宋_GB2312"/>
          <w:b w:val="0"/>
          <w:bCs w:val="0"/>
          <w:sz w:val="32"/>
          <w:szCs w:val="32"/>
          <w:highlight w:val="none"/>
          <w:lang w:val="en-US" w:eastAsia="zh-CN"/>
        </w:rPr>
        <w:t>0.08</w:t>
      </w:r>
      <w:r>
        <w:rPr>
          <w:rFonts w:hint="eastAsia" w:ascii="仿宋_GB2312" w:hAnsi="仿宋_GB2312" w:eastAsia="仿宋_GB2312" w:cs="仿宋_GB2312"/>
          <w:b w:val="0"/>
          <w:bCs w:val="0"/>
          <w:sz w:val="32"/>
          <w:szCs w:val="32"/>
          <w:highlight w:val="none"/>
        </w:rPr>
        <w:t>万元，</w:t>
      </w:r>
      <w:r>
        <w:rPr>
          <w:rFonts w:hint="eastAsia" w:ascii="仿宋_GB2312" w:hAnsi="仿宋_GB2312" w:eastAsia="仿宋_GB2312" w:cs="仿宋_GB2312"/>
          <w:b w:val="0"/>
          <w:bCs w:val="0"/>
          <w:sz w:val="32"/>
          <w:szCs w:val="32"/>
          <w:highlight w:val="none"/>
          <w:lang w:eastAsia="zh-CN"/>
        </w:rPr>
        <w:t>增长</w:t>
      </w:r>
      <w:r>
        <w:rPr>
          <w:rFonts w:hint="eastAsia" w:ascii="仿宋_GB2312" w:hAnsi="仿宋_GB2312" w:eastAsia="仿宋_GB2312" w:cs="仿宋_GB2312"/>
          <w:b w:val="0"/>
          <w:bCs w:val="0"/>
          <w:sz w:val="32"/>
          <w:szCs w:val="32"/>
          <w:highlight w:val="none"/>
          <w:lang w:val="en-US" w:eastAsia="zh-CN"/>
        </w:rPr>
        <w:t>2.28</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。变动原因</w:t>
      </w:r>
      <w:r>
        <w:rPr>
          <w:rFonts w:hint="eastAsia" w:ascii="仿宋_GB2312" w:hAnsi="仿宋_GB2312" w:eastAsia="仿宋_GB2312" w:cs="仿宋_GB2312"/>
          <w:b w:val="0"/>
          <w:bCs w:val="0"/>
          <w:sz w:val="32"/>
          <w:szCs w:val="32"/>
          <w:highlight w:val="none"/>
          <w:lang w:eastAsia="zh-CN"/>
        </w:rPr>
        <w:t>：</w:t>
      </w:r>
      <w:r>
        <w:rPr>
          <w:rFonts w:hint="eastAsia" w:ascii="仿宋_GB2312" w:eastAsia="仿宋_GB2312"/>
          <w:b w:val="0"/>
          <w:bCs w:val="0"/>
          <w:sz w:val="32"/>
          <w:szCs w:val="32"/>
          <w:lang w:val="en-US" w:eastAsia="zh-CN"/>
        </w:rPr>
        <w:t>人员增加，固定资产需要配备齐全。</w:t>
      </w:r>
    </w:p>
    <w:p>
      <w:pPr>
        <w:spacing w:line="600" w:lineRule="exact"/>
        <w:ind w:firstLine="640" w:firstLineChars="200"/>
        <w:outlineLvl w:val="2"/>
        <w:rPr>
          <w:rFonts w:eastAsia="黑体" w:cs="黑体"/>
          <w:sz w:val="32"/>
          <w:szCs w:val="36"/>
        </w:rPr>
      </w:pPr>
      <w:r>
        <w:rPr>
          <w:rFonts w:hint="eastAsia" w:eastAsia="黑体" w:cs="黑体"/>
          <w:sz w:val="32"/>
          <w:szCs w:val="36"/>
        </w:rPr>
        <w:t>七、一般公共预算“三公”经费支出预算情况说明</w:t>
      </w:r>
    </w:p>
    <w:p>
      <w:pPr>
        <w:pStyle w:val="11"/>
        <w:tabs>
          <w:tab w:val="left" w:pos="2671"/>
          <w:tab w:val="left" w:pos="5000"/>
          <w:tab w:val="left" w:pos="6190"/>
        </w:tabs>
        <w:spacing w:after="0" w:line="600" w:lineRule="exact"/>
        <w:ind w:firstLine="640" w:firstLineChars="200"/>
        <w:rPr>
          <w:rFonts w:eastAsia="仿宋_GB2312"/>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eastAsia="仿宋_GB2312"/>
          <w:sz w:val="32"/>
          <w:szCs w:val="32"/>
        </w:rPr>
        <w:t>年度一般公共预算拨款安排的“三公”经费预算支出</w:t>
      </w:r>
      <w:r>
        <w:rPr>
          <w:rFonts w:hint="eastAsia" w:eastAsia="仿宋_GB2312"/>
          <w:sz w:val="32"/>
          <w:szCs w:val="32"/>
          <w:lang w:val="en-US" w:eastAsia="zh-CN"/>
        </w:rPr>
        <w:t>1.6</w:t>
      </w:r>
      <w:r>
        <w:rPr>
          <w:rFonts w:eastAsia="仿宋_GB2312"/>
          <w:sz w:val="32"/>
          <w:szCs w:val="32"/>
        </w:rPr>
        <w:t>万元，其中因公出国（境）费支出</w:t>
      </w:r>
      <w:r>
        <w:rPr>
          <w:rFonts w:hint="eastAsia" w:eastAsia="仿宋_GB2312"/>
          <w:sz w:val="32"/>
          <w:szCs w:val="32"/>
          <w:lang w:val="en-US" w:eastAsia="zh-CN"/>
        </w:rPr>
        <w:t>0</w:t>
      </w:r>
      <w:r>
        <w:rPr>
          <w:rFonts w:eastAsia="仿宋_GB2312"/>
          <w:sz w:val="32"/>
          <w:szCs w:val="32"/>
        </w:rPr>
        <w:t>万元，占</w:t>
      </w:r>
      <w:r>
        <w:rPr>
          <w:rFonts w:hint="eastAsia" w:eastAsia="仿宋_GB2312"/>
          <w:sz w:val="32"/>
          <w:szCs w:val="32"/>
          <w:lang w:val="en-US" w:eastAsia="zh-CN"/>
        </w:rPr>
        <w:t>0</w:t>
      </w:r>
      <w:r>
        <w:rPr>
          <w:rFonts w:hint="eastAsia" w:ascii="仿宋_GB2312" w:hAnsi="仿宋_GB2312" w:eastAsia="仿宋_GB2312"/>
          <w:sz w:val="32"/>
          <w:szCs w:val="32"/>
        </w:rPr>
        <w:t>%</w:t>
      </w:r>
      <w:r>
        <w:rPr>
          <w:rFonts w:eastAsia="仿宋_GB2312"/>
          <w:sz w:val="32"/>
          <w:szCs w:val="32"/>
        </w:rPr>
        <w:t>；公务用车购置及运行维护费支出</w:t>
      </w:r>
      <w:r>
        <w:rPr>
          <w:rFonts w:hint="eastAsia" w:eastAsia="仿宋_GB2312"/>
          <w:sz w:val="32"/>
          <w:szCs w:val="32"/>
          <w:lang w:val="en-US" w:eastAsia="zh-CN"/>
        </w:rPr>
        <w:t>1.5</w:t>
      </w:r>
      <w:r>
        <w:rPr>
          <w:rFonts w:eastAsia="仿宋_GB2312"/>
          <w:sz w:val="32"/>
          <w:szCs w:val="32"/>
        </w:rPr>
        <w:t>万元，占</w:t>
      </w:r>
      <w:r>
        <w:rPr>
          <w:rFonts w:hint="eastAsia" w:eastAsia="仿宋_GB2312"/>
          <w:sz w:val="32"/>
          <w:szCs w:val="32"/>
          <w:lang w:val="en-US" w:eastAsia="zh-CN"/>
        </w:rPr>
        <w:t>93.75</w:t>
      </w:r>
      <w:r>
        <w:rPr>
          <w:rFonts w:hint="eastAsia" w:ascii="仿宋_GB2312" w:hAnsi="仿宋_GB2312" w:eastAsia="仿宋_GB2312"/>
          <w:sz w:val="32"/>
          <w:szCs w:val="32"/>
        </w:rPr>
        <w:t>%</w:t>
      </w:r>
      <w:r>
        <w:rPr>
          <w:rFonts w:eastAsia="仿宋_GB2312"/>
          <w:sz w:val="32"/>
          <w:szCs w:val="32"/>
        </w:rPr>
        <w:t>；公务接待费支出</w:t>
      </w:r>
      <w:r>
        <w:rPr>
          <w:rFonts w:hint="eastAsia" w:eastAsia="仿宋_GB2312"/>
          <w:sz w:val="32"/>
          <w:szCs w:val="32"/>
          <w:lang w:val="en-US" w:eastAsia="zh-CN"/>
        </w:rPr>
        <w:t>0.1</w:t>
      </w:r>
      <w:r>
        <w:rPr>
          <w:rFonts w:eastAsia="仿宋_GB2312"/>
          <w:sz w:val="32"/>
          <w:szCs w:val="32"/>
        </w:rPr>
        <w:t>万元，占</w:t>
      </w:r>
      <w:r>
        <w:rPr>
          <w:rFonts w:hint="eastAsia" w:eastAsia="仿宋_GB2312"/>
          <w:sz w:val="32"/>
          <w:szCs w:val="32"/>
          <w:lang w:val="en-US" w:eastAsia="zh-CN"/>
        </w:rPr>
        <w:t>6.25</w:t>
      </w:r>
      <w:r>
        <w:rPr>
          <w:rFonts w:hint="eastAsia" w:ascii="仿宋_GB2312" w:hAnsi="仿宋_GB2312" w:eastAsia="仿宋_GB2312"/>
          <w:sz w:val="32"/>
          <w:szCs w:val="32"/>
        </w:rPr>
        <w:t>%</w:t>
      </w:r>
      <w:r>
        <w:rPr>
          <w:rFonts w:eastAsia="仿宋_GB2312"/>
          <w:sz w:val="32"/>
          <w:szCs w:val="32"/>
        </w:rPr>
        <w:t>。具体情况如下：</w:t>
      </w:r>
    </w:p>
    <w:p>
      <w:pPr>
        <w:spacing w:line="600" w:lineRule="exact"/>
        <w:ind w:left="29" w:right="96" w:firstLine="650"/>
        <w:rPr>
          <w:rFonts w:eastAsia="仿宋_GB2312"/>
          <w:sz w:val="32"/>
          <w:szCs w:val="32"/>
        </w:rPr>
      </w:pPr>
      <w:r>
        <w:rPr>
          <w:rFonts w:eastAsia="仿宋_GB2312"/>
          <w:sz w:val="32"/>
          <w:szCs w:val="32"/>
        </w:rPr>
        <w:t>一般公共预算拨款安排的“三公”经费预算支出</w:t>
      </w:r>
      <w:r>
        <w:rPr>
          <w:rFonts w:hint="eastAsia" w:eastAsia="仿宋_GB2312"/>
          <w:sz w:val="32"/>
          <w:szCs w:val="32"/>
          <w:lang w:val="en-US" w:eastAsia="zh-CN"/>
        </w:rPr>
        <w:t>1.6</w:t>
      </w:r>
      <w:r>
        <w:rPr>
          <w:rFonts w:eastAsia="仿宋_GB2312"/>
          <w:spacing w:val="-4"/>
          <w:sz w:val="32"/>
          <w:szCs w:val="32"/>
        </w:rPr>
        <w:t>万元，比上年预</w:t>
      </w:r>
      <w:r>
        <w:rPr>
          <w:rFonts w:eastAsia="仿宋_GB2312"/>
          <w:spacing w:val="-6"/>
          <w:sz w:val="32"/>
          <w:szCs w:val="32"/>
        </w:rPr>
        <w:t>算减少</w:t>
      </w:r>
      <w:r>
        <w:rPr>
          <w:rFonts w:hint="eastAsia" w:eastAsia="仿宋_GB2312"/>
          <w:spacing w:val="-6"/>
          <w:sz w:val="32"/>
          <w:szCs w:val="32"/>
          <w:lang w:val="en-US" w:eastAsia="zh-CN"/>
        </w:rPr>
        <w:t>0</w:t>
      </w:r>
      <w:r>
        <w:rPr>
          <w:rFonts w:eastAsia="仿宋_GB2312"/>
          <w:spacing w:val="-6"/>
          <w:sz w:val="32"/>
          <w:szCs w:val="32"/>
        </w:rPr>
        <w:t>万元，</w:t>
      </w:r>
      <w:r>
        <w:rPr>
          <w:rFonts w:eastAsia="仿宋_GB2312"/>
          <w:sz w:val="32"/>
          <w:szCs w:val="32"/>
        </w:rPr>
        <w:t>减少</w:t>
      </w:r>
      <w:r>
        <w:rPr>
          <w:rFonts w:hint="eastAsia" w:eastAsia="仿宋_GB2312"/>
          <w:sz w:val="32"/>
          <w:szCs w:val="32"/>
          <w:lang w:val="en-US" w:eastAsia="zh-CN"/>
        </w:rPr>
        <w:t>0</w:t>
      </w:r>
      <w:r>
        <w:rPr>
          <w:rFonts w:hint="eastAsia" w:ascii="仿宋_GB2312" w:hAnsi="仿宋_GB2312" w:eastAsia="仿宋_GB2312"/>
          <w:sz w:val="32"/>
          <w:szCs w:val="32"/>
        </w:rPr>
        <w:t>%</w:t>
      </w:r>
      <w:r>
        <w:rPr>
          <w:rFonts w:eastAsia="仿宋_GB2312"/>
          <w:spacing w:val="-6"/>
          <w:sz w:val="32"/>
          <w:szCs w:val="32"/>
        </w:rPr>
        <w:t>；</w:t>
      </w:r>
      <w:r>
        <w:rPr>
          <w:rFonts w:eastAsia="仿宋_GB2312"/>
          <w:spacing w:val="-4"/>
          <w:sz w:val="32"/>
          <w:szCs w:val="32"/>
        </w:rPr>
        <w:t>其中：</w:t>
      </w:r>
    </w:p>
    <w:p>
      <w:pPr>
        <w:pStyle w:val="11"/>
        <w:spacing w:after="0" w:line="600" w:lineRule="exact"/>
        <w:ind w:left="17" w:leftChars="8" w:firstLine="640" w:firstLineChars="200"/>
        <w:rPr>
          <w:rFonts w:eastAsia="仿宋_GB2312"/>
          <w:sz w:val="32"/>
          <w:szCs w:val="32"/>
        </w:rPr>
      </w:pPr>
      <w:r>
        <w:rPr>
          <w:rFonts w:eastAsia="仿宋_GB2312"/>
          <w:sz w:val="32"/>
          <w:szCs w:val="32"/>
        </w:rPr>
        <w:t>1．因公出国（境）费预算支出</w:t>
      </w:r>
      <w:r>
        <w:rPr>
          <w:rFonts w:hint="eastAsia" w:eastAsia="仿宋_GB2312"/>
          <w:sz w:val="32"/>
          <w:szCs w:val="32"/>
          <w:lang w:val="en-US" w:eastAsia="zh-CN"/>
        </w:rPr>
        <w:t>0</w:t>
      </w:r>
      <w:r>
        <w:rPr>
          <w:rFonts w:eastAsia="仿宋_GB2312"/>
          <w:sz w:val="32"/>
          <w:szCs w:val="32"/>
        </w:rPr>
        <w:t>万元，比上年预算增加</w:t>
      </w:r>
      <w:r>
        <w:rPr>
          <w:rFonts w:hint="eastAsia" w:eastAsia="仿宋_GB2312"/>
          <w:sz w:val="32"/>
          <w:szCs w:val="32"/>
          <w:lang w:val="en-US" w:eastAsia="zh-CN"/>
        </w:rPr>
        <w:t>0</w:t>
      </w:r>
      <w:r>
        <w:rPr>
          <w:rFonts w:eastAsia="仿宋_GB2312"/>
          <w:sz w:val="32"/>
          <w:szCs w:val="32"/>
        </w:rPr>
        <w:t>万元，主要原因</w:t>
      </w:r>
      <w:r>
        <w:rPr>
          <w:rFonts w:hint="eastAsia" w:ascii="仿宋_GB2312" w:hAnsi="仿宋_GB2312" w:eastAsia="仿宋_GB2312" w:cs="仿宋_GB2312"/>
          <w:b w:val="0"/>
          <w:bCs w:val="0"/>
          <w:sz w:val="32"/>
          <w:szCs w:val="32"/>
          <w:lang w:val="en-US" w:eastAsia="zh-CN"/>
        </w:rPr>
        <w:t>2026年我单位无</w:t>
      </w:r>
      <w:r>
        <w:rPr>
          <w:rFonts w:eastAsia="仿宋_GB2312"/>
          <w:sz w:val="32"/>
          <w:szCs w:val="32"/>
        </w:rPr>
        <w:t>因公出国（境）费预算支出。</w:t>
      </w:r>
    </w:p>
    <w:p>
      <w:pPr>
        <w:pStyle w:val="11"/>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2．公务用车购置及运行维护费预算支出</w:t>
      </w:r>
      <w:r>
        <w:rPr>
          <w:rFonts w:hint="eastAsia" w:eastAsia="仿宋_GB2312"/>
          <w:sz w:val="32"/>
          <w:szCs w:val="32"/>
          <w:lang w:val="en-US" w:eastAsia="zh-CN"/>
        </w:rPr>
        <w:t>1.5</w:t>
      </w:r>
      <w:r>
        <w:rPr>
          <w:rFonts w:eastAsia="仿宋_GB2312"/>
          <w:sz w:val="32"/>
          <w:szCs w:val="32"/>
        </w:rPr>
        <w:t>万元。其中：</w:t>
      </w:r>
    </w:p>
    <w:p>
      <w:pPr>
        <w:pStyle w:val="11"/>
        <w:spacing w:after="0" w:line="600" w:lineRule="exact"/>
        <w:ind w:firstLine="640" w:firstLineChars="200"/>
        <w:rPr>
          <w:rFonts w:eastAsia="仿宋_GB2312"/>
          <w:sz w:val="32"/>
          <w:szCs w:val="32"/>
        </w:rPr>
      </w:pPr>
      <w:r>
        <w:rPr>
          <w:rFonts w:eastAsia="仿宋_GB2312"/>
          <w:sz w:val="32"/>
          <w:szCs w:val="32"/>
        </w:rPr>
        <w:t>（1）公务用车购置预算支出</w:t>
      </w:r>
      <w:r>
        <w:rPr>
          <w:rFonts w:hint="eastAsia" w:eastAsia="仿宋_GB2312"/>
          <w:sz w:val="32"/>
          <w:szCs w:val="32"/>
          <w:lang w:val="en-US" w:eastAsia="zh-CN"/>
        </w:rPr>
        <w:t>0</w:t>
      </w:r>
      <w:r>
        <w:rPr>
          <w:rFonts w:eastAsia="仿宋_GB2312"/>
          <w:sz w:val="32"/>
          <w:szCs w:val="32"/>
        </w:rPr>
        <w:t>万元，比上年预算增加</w:t>
      </w:r>
      <w:r>
        <w:rPr>
          <w:rFonts w:hint="eastAsia" w:eastAsia="仿宋_GB2312"/>
          <w:sz w:val="32"/>
          <w:szCs w:val="32"/>
          <w:lang w:val="en-US" w:eastAsia="zh-CN"/>
        </w:rPr>
        <w:t>0</w:t>
      </w:r>
      <w:r>
        <w:rPr>
          <w:rFonts w:eastAsia="仿宋_GB2312"/>
          <w:sz w:val="32"/>
          <w:szCs w:val="32"/>
        </w:rPr>
        <w:t>万元，主要原因</w:t>
      </w:r>
      <w:r>
        <w:rPr>
          <w:rFonts w:hint="eastAsia" w:ascii="仿宋_GB2312" w:hAnsi="仿宋_GB2312" w:eastAsia="仿宋_GB2312"/>
          <w:sz w:val="32"/>
          <w:szCs w:val="32"/>
          <w:highlight w:val="none"/>
          <w:lang w:eastAsia="zh-CN"/>
        </w:rPr>
        <w:t>我单位无公务用车购置</w:t>
      </w:r>
      <w:r>
        <w:rPr>
          <w:rFonts w:eastAsia="仿宋_GB2312"/>
          <w:sz w:val="32"/>
          <w:szCs w:val="32"/>
        </w:rPr>
        <w:t>预算支出。</w:t>
      </w:r>
    </w:p>
    <w:p>
      <w:pPr>
        <w:pStyle w:val="11"/>
        <w:spacing w:after="0" w:line="600" w:lineRule="exact"/>
        <w:ind w:firstLine="640" w:firstLineChars="200"/>
        <w:rPr>
          <w:rFonts w:eastAsia="仿宋_GB2312"/>
          <w:sz w:val="32"/>
          <w:szCs w:val="32"/>
        </w:rPr>
      </w:pPr>
      <w:r>
        <w:rPr>
          <w:rFonts w:eastAsia="仿宋_GB2312"/>
          <w:sz w:val="32"/>
          <w:szCs w:val="32"/>
        </w:rPr>
        <w:t>（2）公务用车运行维护费预算支出</w:t>
      </w:r>
      <w:r>
        <w:rPr>
          <w:rFonts w:hint="eastAsia" w:eastAsia="仿宋_GB2312"/>
          <w:sz w:val="32"/>
          <w:szCs w:val="32"/>
          <w:lang w:val="en-US" w:eastAsia="zh-CN"/>
        </w:rPr>
        <w:t>1.5</w:t>
      </w:r>
      <w:r>
        <w:rPr>
          <w:rFonts w:eastAsia="仿宋_GB2312"/>
          <w:sz w:val="32"/>
          <w:szCs w:val="32"/>
        </w:rPr>
        <w:t>万元，比上年预算增加</w:t>
      </w:r>
      <w:r>
        <w:rPr>
          <w:rFonts w:hint="eastAsia" w:eastAsia="仿宋_GB2312"/>
          <w:sz w:val="32"/>
          <w:szCs w:val="32"/>
          <w:lang w:val="en-US" w:eastAsia="zh-CN"/>
        </w:rPr>
        <w:t>0</w:t>
      </w:r>
      <w:r>
        <w:rPr>
          <w:rFonts w:eastAsia="仿宋_GB2312"/>
          <w:sz w:val="32"/>
          <w:szCs w:val="32"/>
        </w:rPr>
        <w:t>万元，主要原因</w:t>
      </w:r>
      <w:r>
        <w:rPr>
          <w:rFonts w:hint="eastAsia" w:ascii="仿宋_GB2312" w:hAnsi="仿宋_GB2312" w:eastAsia="仿宋_GB2312" w:cs="仿宋_GB2312"/>
          <w:b w:val="0"/>
          <w:bCs w:val="0"/>
          <w:sz w:val="32"/>
          <w:szCs w:val="32"/>
          <w:lang w:val="en-US" w:eastAsia="zh-CN"/>
        </w:rPr>
        <w:t>与2025年预算数持平</w:t>
      </w:r>
      <w:r>
        <w:rPr>
          <w:rFonts w:eastAsia="仿宋_GB2312"/>
          <w:sz w:val="32"/>
          <w:szCs w:val="32"/>
        </w:rPr>
        <w:t>。</w:t>
      </w:r>
    </w:p>
    <w:p>
      <w:pPr>
        <w:pStyle w:val="11"/>
        <w:spacing w:after="0" w:line="600" w:lineRule="exact"/>
        <w:ind w:firstLine="640" w:firstLineChars="200"/>
        <w:rPr>
          <w:rFonts w:eastAsia="仿宋_GB2312"/>
          <w:sz w:val="32"/>
          <w:szCs w:val="32"/>
        </w:rPr>
      </w:pPr>
      <w:r>
        <w:rPr>
          <w:rFonts w:eastAsia="仿宋_GB2312"/>
          <w:sz w:val="32"/>
          <w:szCs w:val="32"/>
        </w:rPr>
        <w:t>3．公务接待费预算支出</w:t>
      </w:r>
      <w:r>
        <w:rPr>
          <w:rFonts w:hint="eastAsia" w:eastAsia="仿宋_GB2312"/>
          <w:sz w:val="32"/>
          <w:szCs w:val="32"/>
          <w:lang w:val="en-US" w:eastAsia="zh-CN"/>
        </w:rPr>
        <w:t>0.1</w:t>
      </w:r>
      <w:r>
        <w:rPr>
          <w:rFonts w:eastAsia="仿宋_GB2312"/>
          <w:sz w:val="32"/>
          <w:szCs w:val="32"/>
        </w:rPr>
        <w:t>万元，比上年预算减少</w:t>
      </w:r>
      <w:r>
        <w:rPr>
          <w:rFonts w:hint="eastAsia" w:eastAsia="仿宋_GB2312"/>
          <w:sz w:val="32"/>
          <w:szCs w:val="32"/>
          <w:lang w:val="en-US" w:eastAsia="zh-CN"/>
        </w:rPr>
        <w:t>0</w:t>
      </w:r>
      <w:r>
        <w:rPr>
          <w:rFonts w:eastAsia="仿宋_GB2312"/>
          <w:sz w:val="32"/>
          <w:szCs w:val="32"/>
        </w:rPr>
        <w:t>万元，主要原因</w:t>
      </w:r>
      <w:r>
        <w:rPr>
          <w:rFonts w:hint="eastAsia" w:ascii="仿宋_GB2312" w:hAnsi="仿宋_GB2312" w:eastAsia="仿宋_GB2312" w:cs="仿宋_GB2312"/>
          <w:b w:val="0"/>
          <w:bCs w:val="0"/>
          <w:sz w:val="32"/>
          <w:szCs w:val="32"/>
          <w:lang w:val="en-US" w:eastAsia="zh-CN"/>
        </w:rPr>
        <w:t>与2025年预算数持平</w:t>
      </w:r>
      <w:r>
        <w:rPr>
          <w:rFonts w:eastAsia="仿宋_GB2312"/>
          <w:sz w:val="32"/>
          <w:szCs w:val="32"/>
        </w:rPr>
        <w:t>。</w:t>
      </w:r>
    </w:p>
    <w:p>
      <w:pPr>
        <w:spacing w:line="600" w:lineRule="exact"/>
        <w:ind w:firstLine="640" w:firstLineChars="200"/>
        <w:outlineLvl w:val="2"/>
        <w:rPr>
          <w:rFonts w:eastAsia="黑体" w:cs="黑体"/>
          <w:sz w:val="32"/>
          <w:szCs w:val="36"/>
        </w:rPr>
      </w:pPr>
      <w:r>
        <w:rPr>
          <w:rFonts w:hint="eastAsia" w:eastAsia="黑体" w:cs="黑体"/>
          <w:sz w:val="32"/>
          <w:szCs w:val="36"/>
        </w:rPr>
        <w:t>八、政府性基金预算支出预算情况说明</w:t>
      </w:r>
    </w:p>
    <w:p>
      <w:pPr>
        <w:pStyle w:val="11"/>
        <w:spacing w:after="0" w:line="600" w:lineRule="exact"/>
        <w:ind w:left="17" w:leftChars="8" w:firstLine="640" w:firstLineChars="200"/>
        <w:rPr>
          <w:rFonts w:eastAsia="仿宋_GB2312"/>
          <w:sz w:val="32"/>
          <w:szCs w:val="32"/>
          <w:highlight w:val="none"/>
        </w:rPr>
      </w:pPr>
      <w:r>
        <w:rPr>
          <w:rFonts w:hint="eastAsia" w:ascii="仿宋_GB2312" w:hAnsi="仿宋_GB2312" w:eastAsia="仿宋_GB2312" w:cs="仿宋"/>
          <w:color w:val="auto"/>
          <w:sz w:val="32"/>
          <w:szCs w:val="32"/>
          <w:highlight w:val="none"/>
          <w:u w:val="none"/>
          <w:lang w:eastAsia="zh-CN"/>
        </w:rPr>
        <w:t>巴彦淖尔市房屋产权交易中心</w:t>
      </w:r>
      <w:r>
        <w:rPr>
          <w:rFonts w:hint="eastAsia" w:ascii="仿宋_GB2312" w:hAnsi="仿宋_GB2312" w:eastAsia="仿宋_GB2312" w:cs="仿宋_GB2312"/>
          <w:color w:val="auto"/>
          <w:sz w:val="32"/>
          <w:szCs w:val="32"/>
          <w:highlight w:val="none"/>
          <w:u w:val="none"/>
          <w:lang w:val="en-US" w:eastAsia="zh-CN"/>
        </w:rPr>
        <w:t>2026</w:t>
      </w:r>
      <w:r>
        <w:rPr>
          <w:rFonts w:hint="eastAsia" w:ascii="仿宋_GB2312" w:hAnsi="仿宋_GB2312" w:eastAsia="仿宋_GB2312" w:cs="仿宋_GB2312"/>
          <w:color w:val="auto"/>
          <w:sz w:val="32"/>
          <w:szCs w:val="32"/>
          <w:highlight w:val="none"/>
        </w:rPr>
        <w:t>年度</w:t>
      </w:r>
      <w:r>
        <w:rPr>
          <w:rFonts w:eastAsia="仿宋_GB2312"/>
          <w:sz w:val="32"/>
          <w:szCs w:val="32"/>
          <w:highlight w:val="none"/>
        </w:rPr>
        <w:t>政府性基金支出预算支出</w:t>
      </w:r>
      <w:r>
        <w:rPr>
          <w:rFonts w:hint="eastAsia" w:eastAsia="仿宋_GB2312"/>
          <w:sz w:val="32"/>
          <w:szCs w:val="32"/>
          <w:highlight w:val="none"/>
          <w:lang w:val="en-US" w:eastAsia="zh-CN"/>
        </w:rPr>
        <w:t>0</w:t>
      </w:r>
      <w:r>
        <w:rPr>
          <w:rFonts w:eastAsia="仿宋_GB2312"/>
          <w:sz w:val="32"/>
          <w:szCs w:val="32"/>
          <w:highlight w:val="none"/>
        </w:rPr>
        <w:t>万元。与上年相比增加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w:t>
      </w:r>
      <w:r>
        <w:rPr>
          <w:rFonts w:hint="eastAsia" w:eastAsia="仿宋_GB2312"/>
          <w:sz w:val="32"/>
          <w:szCs w:val="32"/>
          <w:highlight w:val="none"/>
          <w:lang w:eastAsia="zh-CN"/>
        </w:rPr>
        <w:t>本</w:t>
      </w:r>
      <w:r>
        <w:rPr>
          <w:rFonts w:hint="eastAsia" w:ascii="仿宋_GB2312" w:eastAsia="仿宋_GB2312"/>
          <w:sz w:val="32"/>
          <w:szCs w:val="32"/>
        </w:rPr>
        <w:t>单位</w:t>
      </w:r>
      <w:r>
        <w:rPr>
          <w:rFonts w:hint="eastAsia" w:ascii="Times New Roman" w:hAnsi="Times New Roman" w:eastAsia="仿宋_GB2312" w:cs="仿宋"/>
          <w:sz w:val="32"/>
          <w:szCs w:val="32"/>
          <w:highlight w:val="none"/>
        </w:rPr>
        <w:t>无政府性基金预算支出</w:t>
      </w:r>
      <w:r>
        <w:rPr>
          <w:rFonts w:eastAsia="仿宋_GB2312"/>
          <w:sz w:val="32"/>
          <w:szCs w:val="32"/>
          <w:highlight w:val="none"/>
        </w:rPr>
        <w:t>。</w:t>
      </w:r>
    </w:p>
    <w:p>
      <w:pPr>
        <w:spacing w:line="600" w:lineRule="exact"/>
        <w:ind w:firstLine="640" w:firstLineChars="200"/>
        <w:outlineLvl w:val="2"/>
        <w:rPr>
          <w:rFonts w:eastAsia="黑体" w:cs="黑体"/>
          <w:sz w:val="32"/>
          <w:szCs w:val="36"/>
        </w:rPr>
      </w:pPr>
      <w:r>
        <w:rPr>
          <w:rFonts w:hint="eastAsia" w:eastAsia="黑体" w:cs="黑体"/>
          <w:sz w:val="32"/>
          <w:szCs w:val="36"/>
        </w:rPr>
        <w:t>九、国有资本经营预算支出预算情况说明</w:t>
      </w:r>
    </w:p>
    <w:p>
      <w:pPr>
        <w:spacing w:line="600" w:lineRule="exact"/>
        <w:ind w:firstLine="640" w:firstLineChars="200"/>
        <w:rPr>
          <w:rFonts w:eastAsia="仿宋_GB2312" w:cstheme="minorBidi"/>
          <w:sz w:val="32"/>
          <w:szCs w:val="32"/>
        </w:rPr>
      </w:pPr>
      <w:r>
        <w:rPr>
          <w:rFonts w:hint="eastAsia" w:ascii="仿宋_GB2312" w:hAnsi="仿宋_GB2312" w:eastAsia="仿宋_GB2312" w:cs="仿宋"/>
          <w:color w:val="auto"/>
          <w:sz w:val="32"/>
          <w:szCs w:val="32"/>
          <w:highlight w:val="none"/>
          <w:u w:val="none"/>
          <w:lang w:eastAsia="zh-CN"/>
        </w:rPr>
        <w:t>巴彦淖尔市房屋产权交易中心</w:t>
      </w:r>
      <w:r>
        <w:rPr>
          <w:rFonts w:hint="eastAsia" w:ascii="仿宋_GB2312" w:hAnsi="仿宋_GB2312" w:eastAsia="仿宋_GB2312" w:cs="仿宋_GB2312"/>
          <w:color w:val="auto"/>
          <w:sz w:val="32"/>
          <w:szCs w:val="32"/>
          <w:highlight w:val="none"/>
          <w:u w:val="none"/>
          <w:lang w:val="en-US" w:eastAsia="zh-CN"/>
        </w:rPr>
        <w:t>2026</w:t>
      </w:r>
      <w:r>
        <w:rPr>
          <w:rFonts w:hint="eastAsia" w:ascii="仿宋_GB2312" w:hAnsi="仿宋_GB2312" w:eastAsia="仿宋_GB2312" w:cs="仿宋_GB2312"/>
          <w:color w:val="auto"/>
          <w:sz w:val="32"/>
          <w:szCs w:val="32"/>
          <w:highlight w:val="none"/>
        </w:rPr>
        <w:t>年度</w:t>
      </w:r>
      <w:r>
        <w:rPr>
          <w:rFonts w:hint="eastAsia" w:eastAsia="仿宋_GB2312" w:cstheme="minorBidi"/>
          <w:sz w:val="32"/>
          <w:szCs w:val="32"/>
          <w:highlight w:val="none"/>
        </w:rPr>
        <w:t>国有资本经营预算支</w:t>
      </w:r>
      <w:r>
        <w:rPr>
          <w:rFonts w:hint="eastAsia" w:eastAsia="仿宋_GB2312" w:cstheme="minorBidi"/>
          <w:sz w:val="32"/>
          <w:szCs w:val="32"/>
          <w:highlight w:val="none"/>
          <w:lang w:eastAsia="zh-CN"/>
        </w:rPr>
        <w:t>出</w:t>
      </w:r>
      <w:r>
        <w:rPr>
          <w:rFonts w:hint="eastAsia" w:eastAsia="仿宋_GB2312" w:cstheme="minorBidi"/>
          <w:sz w:val="32"/>
          <w:szCs w:val="32"/>
          <w:highlight w:val="none"/>
          <w:lang w:val="en-US" w:eastAsia="zh-CN"/>
        </w:rPr>
        <w:t>0</w:t>
      </w:r>
      <w:r>
        <w:rPr>
          <w:rFonts w:hint="eastAsia" w:eastAsia="仿宋_GB2312" w:cstheme="minorBidi"/>
          <w:sz w:val="32"/>
          <w:szCs w:val="32"/>
          <w:highlight w:val="none"/>
        </w:rPr>
        <w:t>万元。与上年相比增加</w:t>
      </w:r>
      <w:r>
        <w:rPr>
          <w:rFonts w:hint="eastAsia" w:eastAsia="仿宋_GB2312" w:cstheme="minorBidi"/>
          <w:sz w:val="32"/>
          <w:szCs w:val="32"/>
          <w:highlight w:val="none"/>
          <w:lang w:val="en-US" w:eastAsia="zh-CN"/>
        </w:rPr>
        <w:t>0</w:t>
      </w:r>
      <w:r>
        <w:rPr>
          <w:rFonts w:hint="eastAsia" w:eastAsia="仿宋_GB2312" w:cstheme="minorBidi"/>
          <w:sz w:val="32"/>
          <w:szCs w:val="32"/>
          <w:highlight w:val="none"/>
        </w:rPr>
        <w:t>万元，增长</w:t>
      </w:r>
      <w:r>
        <w:rPr>
          <w:rFonts w:hint="eastAsia" w:eastAsia="仿宋_GB2312" w:cstheme="minorBidi"/>
          <w:sz w:val="32"/>
          <w:szCs w:val="32"/>
          <w:highlight w:val="none"/>
          <w:lang w:val="en-US" w:eastAsia="zh-CN"/>
        </w:rPr>
        <w:t>0</w:t>
      </w:r>
      <w:r>
        <w:rPr>
          <w:rFonts w:hint="eastAsia" w:ascii="仿宋_GB2312" w:hAnsi="仿宋_GB2312" w:eastAsia="仿宋_GB2312" w:cstheme="minorBidi"/>
          <w:sz w:val="32"/>
          <w:szCs w:val="32"/>
          <w:highlight w:val="none"/>
          <w:lang w:eastAsia="zh-CN"/>
        </w:rPr>
        <w:t>%</w:t>
      </w:r>
      <w:r>
        <w:rPr>
          <w:rFonts w:hint="eastAsia" w:eastAsia="仿宋_GB2312" w:cstheme="minorBidi"/>
          <w:sz w:val="32"/>
          <w:szCs w:val="32"/>
          <w:highlight w:val="none"/>
        </w:rPr>
        <w:t>。主要原因本单位无国有资本经营预算支出</w:t>
      </w:r>
      <w:r>
        <w:rPr>
          <w:rFonts w:hint="eastAsia" w:eastAsia="仿宋_GB2312" w:cstheme="minorBidi"/>
          <w:sz w:val="32"/>
          <w:szCs w:val="32"/>
        </w:rPr>
        <w:t>。</w:t>
      </w:r>
    </w:p>
    <w:p>
      <w:pPr>
        <w:spacing w:line="600" w:lineRule="exact"/>
        <w:ind w:firstLine="640" w:firstLineChars="200"/>
        <w:outlineLvl w:val="2"/>
        <w:rPr>
          <w:rFonts w:eastAsia="黑体" w:cs="黑体"/>
          <w:sz w:val="32"/>
          <w:szCs w:val="36"/>
        </w:rPr>
      </w:pPr>
      <w:r>
        <w:rPr>
          <w:rFonts w:hint="eastAsia" w:eastAsia="黑体" w:cs="黑体"/>
          <w:sz w:val="32"/>
          <w:szCs w:val="36"/>
        </w:rPr>
        <w:t>十、项目支出预算情况说明</w:t>
      </w:r>
    </w:p>
    <w:p>
      <w:pPr>
        <w:spacing w:line="600" w:lineRule="exact"/>
        <w:ind w:firstLine="640" w:firstLineChars="200"/>
        <w:rPr>
          <w:rFonts w:eastAsia="仿宋_GB2312"/>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eastAsia="仿宋_GB2312"/>
          <w:sz w:val="32"/>
          <w:szCs w:val="32"/>
        </w:rPr>
        <w:t>年度预算安排项目</w:t>
      </w:r>
      <w:r>
        <w:rPr>
          <w:rFonts w:hint="eastAsia" w:eastAsia="仿宋_GB2312"/>
          <w:sz w:val="32"/>
          <w:szCs w:val="32"/>
          <w:lang w:val="en-US" w:eastAsia="zh-CN"/>
        </w:rPr>
        <w:t>1</w:t>
      </w:r>
      <w:r>
        <w:rPr>
          <w:rFonts w:eastAsia="仿宋_GB2312"/>
          <w:sz w:val="32"/>
          <w:szCs w:val="32"/>
        </w:rPr>
        <w:t>个，项目预算总金额</w:t>
      </w:r>
      <w:r>
        <w:rPr>
          <w:rFonts w:hint="eastAsia" w:eastAsia="仿宋_GB2312"/>
          <w:sz w:val="32"/>
          <w:szCs w:val="32"/>
          <w:lang w:val="en-US" w:eastAsia="zh-CN"/>
        </w:rPr>
        <w:t>10</w:t>
      </w:r>
      <w:r>
        <w:rPr>
          <w:rFonts w:eastAsia="仿宋_GB2312"/>
          <w:sz w:val="32"/>
          <w:szCs w:val="32"/>
        </w:rPr>
        <w:t>万元。其中，财政本年拨款金额</w:t>
      </w:r>
      <w:r>
        <w:rPr>
          <w:rFonts w:hint="eastAsia" w:eastAsia="仿宋_GB2312"/>
          <w:sz w:val="32"/>
          <w:szCs w:val="32"/>
          <w:lang w:val="en-US" w:eastAsia="zh-CN"/>
        </w:rPr>
        <w:t>10</w:t>
      </w:r>
      <w:r>
        <w:rPr>
          <w:rFonts w:eastAsia="仿宋_GB2312"/>
          <w:sz w:val="32"/>
          <w:szCs w:val="32"/>
        </w:rPr>
        <w:t>万元，财政拨款结转结余</w:t>
      </w:r>
      <w:r>
        <w:rPr>
          <w:rFonts w:hint="eastAsia" w:eastAsia="仿宋_GB2312"/>
          <w:sz w:val="32"/>
          <w:szCs w:val="32"/>
          <w:lang w:val="en-US" w:eastAsia="zh-CN"/>
        </w:rPr>
        <w:t>0</w:t>
      </w:r>
      <w:r>
        <w:rPr>
          <w:rFonts w:eastAsia="仿宋_GB2312"/>
          <w:sz w:val="32"/>
          <w:szCs w:val="32"/>
        </w:rPr>
        <w:t>万元，财政专户管理资金</w:t>
      </w:r>
      <w:r>
        <w:rPr>
          <w:rFonts w:hint="eastAsia" w:eastAsia="仿宋_GB2312"/>
          <w:sz w:val="32"/>
          <w:szCs w:val="32"/>
          <w:lang w:val="en-US" w:eastAsia="zh-CN"/>
        </w:rPr>
        <w:t>0</w:t>
      </w:r>
      <w:r>
        <w:rPr>
          <w:rFonts w:eastAsia="仿宋_GB2312"/>
          <w:sz w:val="32"/>
          <w:szCs w:val="32"/>
        </w:rPr>
        <w:t>万元，单位资金</w:t>
      </w:r>
      <w:r>
        <w:rPr>
          <w:rFonts w:hint="eastAsia" w:eastAsia="仿宋_GB2312"/>
          <w:sz w:val="32"/>
          <w:szCs w:val="32"/>
          <w:lang w:val="en-US" w:eastAsia="zh-CN"/>
        </w:rPr>
        <w:t>0</w:t>
      </w:r>
      <w:r>
        <w:rPr>
          <w:rFonts w:eastAsia="仿宋_GB2312"/>
          <w:sz w:val="32"/>
          <w:szCs w:val="32"/>
        </w:rPr>
        <w:t>万元。</w:t>
      </w:r>
    </w:p>
    <w:p>
      <w:pPr>
        <w:spacing w:line="600" w:lineRule="exact"/>
        <w:ind w:firstLine="640" w:firstLineChars="200"/>
        <w:outlineLvl w:val="2"/>
        <w:rPr>
          <w:rFonts w:eastAsia="黑体" w:cs="黑体"/>
          <w:sz w:val="32"/>
          <w:szCs w:val="36"/>
        </w:rPr>
      </w:pPr>
      <w:r>
        <w:rPr>
          <w:rFonts w:hint="eastAsia" w:eastAsia="黑体" w:cs="黑体"/>
          <w:sz w:val="32"/>
          <w:szCs w:val="36"/>
        </w:rPr>
        <w:t>十一、机构运行经费支出预算情况说明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lang w:eastAsia="zh-CN"/>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eastAsia="仿宋_GB2312"/>
          <w:sz w:val="32"/>
          <w:szCs w:val="32"/>
        </w:rPr>
        <w:t>年度</w:t>
      </w:r>
      <w:r>
        <w:rPr>
          <w:rFonts w:hint="eastAsia" w:eastAsia="仿宋_GB2312"/>
          <w:sz w:val="32"/>
          <w:szCs w:val="32"/>
        </w:rPr>
        <w:t>机构</w:t>
      </w:r>
      <w:r>
        <w:rPr>
          <w:rFonts w:eastAsia="仿宋_GB2312"/>
          <w:sz w:val="32"/>
          <w:szCs w:val="32"/>
        </w:rPr>
        <w:t>运行经费预算支出</w:t>
      </w:r>
      <w:r>
        <w:rPr>
          <w:rFonts w:hint="eastAsia" w:eastAsia="仿宋_GB2312"/>
          <w:sz w:val="32"/>
          <w:szCs w:val="32"/>
          <w:lang w:val="en-US" w:eastAsia="zh-CN"/>
        </w:rPr>
        <w:t>43.78</w:t>
      </w:r>
      <w:r>
        <w:rPr>
          <w:rFonts w:eastAsia="仿宋_GB2312"/>
          <w:sz w:val="32"/>
          <w:szCs w:val="32"/>
        </w:rPr>
        <w:t>万元</w:t>
      </w:r>
      <w:r>
        <w:rPr>
          <w:rFonts w:hint="eastAsia" w:eastAsia="仿宋_GB2312" w:cstheme="minorBidi"/>
          <w:sz w:val="32"/>
          <w:szCs w:val="32"/>
        </w:rPr>
        <w:t>，</w:t>
      </w:r>
      <w:r>
        <w:rPr>
          <w:rFonts w:eastAsia="仿宋_GB2312"/>
          <w:color w:val="000000" w:themeColor="text1"/>
          <w:sz w:val="32"/>
          <w:szCs w:val="32"/>
          <w14:textFill>
            <w14:solidFill>
              <w14:schemeClr w14:val="tx1"/>
            </w14:solidFill>
          </w14:textFill>
        </w:rPr>
        <w:t>与</w:t>
      </w:r>
      <w:r>
        <w:rPr>
          <w:rFonts w:eastAsia="仿宋_GB2312"/>
          <w:sz w:val="32"/>
          <w:szCs w:val="32"/>
        </w:rPr>
        <w:t>上年相比</w:t>
      </w:r>
      <w:r>
        <w:rPr>
          <w:rFonts w:hint="eastAsia" w:eastAsia="仿宋_GB2312"/>
          <w:sz w:val="32"/>
          <w:szCs w:val="32"/>
          <w:lang w:eastAsia="zh-CN"/>
        </w:rPr>
        <w:t>增加</w:t>
      </w:r>
      <w:r>
        <w:rPr>
          <w:rFonts w:hint="eastAsia" w:eastAsia="仿宋_GB2312"/>
          <w:sz w:val="32"/>
          <w:szCs w:val="32"/>
          <w:lang w:val="en-US" w:eastAsia="zh-CN"/>
        </w:rPr>
        <w:t>3.26</w:t>
      </w:r>
      <w:r>
        <w:rPr>
          <w:rFonts w:eastAsia="仿宋_GB2312"/>
          <w:sz w:val="32"/>
          <w:szCs w:val="32"/>
        </w:rPr>
        <w:t>万元，</w:t>
      </w:r>
      <w:r>
        <w:rPr>
          <w:rFonts w:hint="eastAsia" w:eastAsia="仿宋_GB2312"/>
          <w:sz w:val="32"/>
          <w:szCs w:val="32"/>
          <w:lang w:eastAsia="zh-CN"/>
        </w:rPr>
        <w:t>增长</w:t>
      </w:r>
      <w:r>
        <w:rPr>
          <w:rFonts w:hint="eastAsia" w:eastAsia="仿宋_GB2312"/>
          <w:sz w:val="32"/>
          <w:szCs w:val="32"/>
          <w:lang w:val="en-US" w:eastAsia="zh-CN"/>
        </w:rPr>
        <w:t>8.05</w:t>
      </w:r>
      <w:r>
        <w:rPr>
          <w:rFonts w:hint="eastAsia" w:ascii="仿宋_GB2312" w:hAnsi="仿宋_GB2312" w:eastAsia="仿宋_GB2312"/>
          <w:sz w:val="32"/>
          <w:szCs w:val="32"/>
        </w:rPr>
        <w:t>%</w:t>
      </w:r>
      <w:r>
        <w:rPr>
          <w:rFonts w:eastAsia="仿宋_GB2312"/>
          <w:sz w:val="32"/>
          <w:szCs w:val="32"/>
        </w:rPr>
        <w:t>。主要原因是：</w:t>
      </w:r>
      <w:r>
        <w:rPr>
          <w:rFonts w:hint="eastAsia" w:eastAsia="仿宋_GB2312"/>
          <w:color w:val="auto"/>
          <w:sz w:val="32"/>
          <w:szCs w:val="32"/>
          <w:lang w:eastAsia="zh-CN"/>
        </w:rPr>
        <w:t>我单位去年新调入</w:t>
      </w:r>
      <w:r>
        <w:rPr>
          <w:rFonts w:hint="eastAsia" w:eastAsia="仿宋_GB2312"/>
          <w:color w:val="auto"/>
          <w:sz w:val="32"/>
          <w:szCs w:val="32"/>
          <w:lang w:val="en-US" w:eastAsia="zh-CN"/>
        </w:rPr>
        <w:t>1</w:t>
      </w:r>
      <w:r>
        <w:rPr>
          <w:rFonts w:hint="eastAsia" w:eastAsia="仿宋_GB2312"/>
          <w:color w:val="auto"/>
          <w:sz w:val="32"/>
          <w:szCs w:val="32"/>
          <w:lang w:eastAsia="zh-CN"/>
        </w:rPr>
        <w:t>人，新招聘</w:t>
      </w:r>
      <w:r>
        <w:rPr>
          <w:rFonts w:hint="eastAsia" w:eastAsia="仿宋_GB2312"/>
          <w:color w:val="auto"/>
          <w:sz w:val="32"/>
          <w:szCs w:val="32"/>
          <w:lang w:val="en-US" w:eastAsia="zh-CN"/>
        </w:rPr>
        <w:t>5人，</w:t>
      </w:r>
      <w:r>
        <w:rPr>
          <w:rFonts w:hint="eastAsia" w:eastAsia="仿宋_GB2312"/>
          <w:sz w:val="32"/>
          <w:szCs w:val="32"/>
          <w:lang w:val="en-US" w:eastAsia="zh-CN"/>
        </w:rPr>
        <w:t>人员增加，经费相应有所增加</w:t>
      </w:r>
      <w:r>
        <w:rPr>
          <w:rFonts w:hint="eastAsia" w:ascii="仿宋_GB2312" w:eastAsia="仿宋_GB2312"/>
          <w:b w:val="0"/>
          <w:bCs w:val="0"/>
          <w:sz w:val="32"/>
          <w:szCs w:val="32"/>
        </w:rPr>
        <w:t>。</w:t>
      </w:r>
      <w:r>
        <w:rPr>
          <w:rFonts w:hint="eastAsia" w:ascii="仿宋_GB2312" w:eastAsia="仿宋_GB2312"/>
          <w:color w:val="auto"/>
          <w:sz w:val="32"/>
          <w:szCs w:val="32"/>
        </w:rPr>
        <w:t>机关运行经费具体明细如下：办公费</w:t>
      </w:r>
      <w:r>
        <w:rPr>
          <w:rFonts w:hint="eastAsia" w:ascii="仿宋_GB2312" w:eastAsia="仿宋_GB2312"/>
          <w:color w:val="auto"/>
          <w:sz w:val="32"/>
          <w:szCs w:val="32"/>
          <w:lang w:val="en-US" w:eastAsia="zh-CN"/>
        </w:rPr>
        <w:t>10.73</w:t>
      </w:r>
      <w:r>
        <w:rPr>
          <w:rFonts w:hint="eastAsia" w:ascii="仿宋_GB2312" w:eastAsia="仿宋_GB2312"/>
          <w:color w:val="auto"/>
          <w:sz w:val="32"/>
          <w:szCs w:val="32"/>
        </w:rPr>
        <w:t>万元，</w:t>
      </w:r>
      <w:r>
        <w:rPr>
          <w:rFonts w:hint="eastAsia" w:ascii="仿宋_GB2312" w:eastAsia="仿宋_GB2312"/>
          <w:color w:val="auto"/>
          <w:sz w:val="32"/>
          <w:szCs w:val="32"/>
          <w:lang w:eastAsia="zh-CN"/>
        </w:rPr>
        <w:t>印刷费</w:t>
      </w:r>
      <w:r>
        <w:rPr>
          <w:rFonts w:hint="eastAsia" w:ascii="仿宋_GB2312" w:eastAsia="仿宋_GB2312"/>
          <w:color w:val="auto"/>
          <w:sz w:val="32"/>
          <w:szCs w:val="32"/>
          <w:lang w:val="en-US" w:eastAsia="zh-CN"/>
        </w:rPr>
        <w:t>0.5万元，水</w:t>
      </w:r>
      <w:r>
        <w:rPr>
          <w:rFonts w:hint="eastAsia" w:ascii="仿宋_GB2312" w:eastAsia="仿宋_GB2312"/>
          <w:color w:val="auto"/>
          <w:sz w:val="32"/>
          <w:szCs w:val="32"/>
        </w:rPr>
        <w:t>费</w:t>
      </w:r>
      <w:r>
        <w:rPr>
          <w:rFonts w:hint="eastAsia" w:ascii="仿宋_GB2312" w:eastAsia="仿宋_GB2312"/>
          <w:color w:val="auto"/>
          <w:sz w:val="32"/>
          <w:szCs w:val="32"/>
          <w:lang w:val="en-US" w:eastAsia="zh-CN"/>
        </w:rPr>
        <w:t>0.06</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电费2.4万元，邮电费0.72万元，取暖费7.06万元，培训费0.4万元，公务接待费0.1万元，物业管理费7.98万元，工会经费7.55万元，公务用车运行维护费1.5万元，其他商品和服务支出1.2万，办公设备购置3.58万</w:t>
      </w:r>
      <w:r>
        <w:rPr>
          <w:rFonts w:eastAsia="仿宋_GB2312"/>
          <w:color w:val="auto"/>
          <w:sz w:val="32"/>
          <w:szCs w:val="32"/>
          <w:highlight w:val="none"/>
        </w:rPr>
        <w:t>。</w:t>
      </w:r>
    </w:p>
    <w:p>
      <w:pPr>
        <w:spacing w:line="600" w:lineRule="exact"/>
        <w:ind w:firstLine="640" w:firstLineChars="200"/>
        <w:outlineLvl w:val="2"/>
        <w:rPr>
          <w:rFonts w:eastAsia="黑体" w:cs="黑体"/>
          <w:b/>
          <w:bCs/>
          <w:sz w:val="32"/>
          <w:szCs w:val="36"/>
        </w:rPr>
      </w:pPr>
      <w:r>
        <w:rPr>
          <w:rFonts w:hint="eastAsia" w:eastAsia="黑体" w:cs="黑体"/>
          <w:sz w:val="32"/>
          <w:szCs w:val="36"/>
        </w:rPr>
        <w:t>十二、政府采购支出预算情况说明</w:t>
      </w:r>
    </w:p>
    <w:p>
      <w:pPr>
        <w:spacing w:line="600" w:lineRule="exact"/>
        <w:ind w:firstLine="640" w:firstLineChars="200"/>
        <w:rPr>
          <w:rFonts w:eastAsia="仿宋_GB2312"/>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eastAsia="仿宋_GB2312"/>
          <w:sz w:val="32"/>
          <w:szCs w:val="32"/>
        </w:rPr>
        <w:t>年度政府采购支出预算总额</w:t>
      </w:r>
      <w:r>
        <w:rPr>
          <w:rFonts w:hint="eastAsia" w:eastAsia="仿宋_GB2312"/>
          <w:sz w:val="32"/>
          <w:szCs w:val="32"/>
          <w:lang w:val="en-US" w:eastAsia="zh-CN"/>
        </w:rPr>
        <w:t>15.85</w:t>
      </w:r>
      <w:r>
        <w:rPr>
          <w:rFonts w:eastAsia="仿宋_GB2312"/>
          <w:sz w:val="32"/>
          <w:szCs w:val="32"/>
        </w:rPr>
        <w:t>万元，其中：拟采购货物支出</w:t>
      </w:r>
      <w:r>
        <w:rPr>
          <w:rFonts w:hint="eastAsia" w:eastAsia="仿宋_GB2312"/>
          <w:sz w:val="32"/>
          <w:szCs w:val="32"/>
          <w:lang w:val="en-US" w:eastAsia="zh-CN"/>
        </w:rPr>
        <w:t>6.15</w:t>
      </w:r>
      <w:r>
        <w:rPr>
          <w:rFonts w:eastAsia="仿宋_GB2312"/>
          <w:sz w:val="32"/>
          <w:szCs w:val="32"/>
        </w:rPr>
        <w:t>万元、拟采购工程支出</w:t>
      </w:r>
      <w:r>
        <w:rPr>
          <w:rFonts w:hint="eastAsia" w:eastAsia="仿宋_GB2312"/>
          <w:sz w:val="32"/>
          <w:szCs w:val="32"/>
          <w:lang w:val="en-US" w:eastAsia="zh-CN"/>
        </w:rPr>
        <w:t>0</w:t>
      </w:r>
      <w:r>
        <w:rPr>
          <w:rFonts w:eastAsia="仿宋_GB2312"/>
          <w:sz w:val="32"/>
          <w:szCs w:val="32"/>
        </w:rPr>
        <w:t>万元、拟购买服务支出</w:t>
      </w:r>
      <w:r>
        <w:rPr>
          <w:rFonts w:hint="eastAsia" w:eastAsia="仿宋_GB2312"/>
          <w:sz w:val="32"/>
          <w:szCs w:val="32"/>
          <w:lang w:val="en-US" w:eastAsia="zh-CN"/>
        </w:rPr>
        <w:t>9.7</w:t>
      </w:r>
      <w:r>
        <w:rPr>
          <w:rFonts w:eastAsia="仿宋_GB2312"/>
          <w:sz w:val="32"/>
          <w:szCs w:val="32"/>
        </w:rPr>
        <w:t>万元。</w:t>
      </w:r>
    </w:p>
    <w:p>
      <w:pPr>
        <w:spacing w:line="600" w:lineRule="exact"/>
        <w:ind w:firstLine="640" w:firstLineChars="200"/>
        <w:outlineLvl w:val="2"/>
        <w:rPr>
          <w:rFonts w:eastAsia="黑体" w:cs="黑体"/>
          <w:sz w:val="32"/>
          <w:szCs w:val="36"/>
        </w:rPr>
      </w:pPr>
      <w:r>
        <w:rPr>
          <w:rFonts w:hint="eastAsia" w:eastAsia="黑体" w:cs="黑体"/>
          <w:sz w:val="32"/>
          <w:szCs w:val="36"/>
        </w:rPr>
        <w:t>十三、国有资产占用情况说明</w:t>
      </w:r>
    </w:p>
    <w:p>
      <w:pPr>
        <w:spacing w:line="600" w:lineRule="exact"/>
        <w:ind w:firstLine="640" w:firstLineChars="200"/>
        <w:rPr>
          <w:rFonts w:eastAsia="仿宋_GB2312" w:cstheme="minorBidi"/>
          <w:sz w:val="32"/>
          <w:szCs w:val="32"/>
        </w:rPr>
      </w:pPr>
      <w:r>
        <w:rPr>
          <w:rFonts w:hint="eastAsia" w:ascii="仿宋_GB2312" w:hAnsi="仿宋_GB2312" w:eastAsia="仿宋_GB2312" w:cs="仿宋"/>
          <w:sz w:val="32"/>
          <w:szCs w:val="32"/>
          <w:u w:val="none"/>
          <w:lang w:eastAsia="zh-CN"/>
        </w:rPr>
        <w:t>巴彦淖尔市房屋产权交易中心</w:t>
      </w:r>
      <w:r>
        <w:rPr>
          <w:rFonts w:eastAsia="仿宋_GB2312"/>
          <w:sz w:val="32"/>
          <w:szCs w:val="32"/>
        </w:rPr>
        <w:t>共有车辆</w:t>
      </w:r>
      <w:r>
        <w:rPr>
          <w:rFonts w:hint="eastAsia" w:eastAsia="仿宋_GB2312"/>
          <w:sz w:val="32"/>
          <w:szCs w:val="32"/>
          <w:lang w:val="en-US" w:eastAsia="zh-CN"/>
        </w:rPr>
        <w:t>1</w:t>
      </w:r>
      <w:r>
        <w:rPr>
          <w:rFonts w:eastAsia="仿宋_GB2312"/>
          <w:sz w:val="32"/>
          <w:szCs w:val="32"/>
        </w:rPr>
        <w:t>辆，其中，一般公务用车</w:t>
      </w:r>
      <w:r>
        <w:rPr>
          <w:rFonts w:hint="eastAsia" w:eastAsia="仿宋_GB2312"/>
          <w:sz w:val="32"/>
          <w:szCs w:val="32"/>
          <w:lang w:val="en-US" w:eastAsia="zh-CN"/>
        </w:rPr>
        <w:t>0</w:t>
      </w:r>
      <w:r>
        <w:rPr>
          <w:rFonts w:eastAsia="仿宋_GB2312"/>
          <w:sz w:val="32"/>
          <w:szCs w:val="32"/>
        </w:rPr>
        <w:t>辆、执法执勤用车</w:t>
      </w:r>
      <w:r>
        <w:rPr>
          <w:rFonts w:hint="eastAsia" w:eastAsia="仿宋_GB2312"/>
          <w:sz w:val="32"/>
          <w:szCs w:val="32"/>
          <w:lang w:val="en-US" w:eastAsia="zh-CN"/>
        </w:rPr>
        <w:t>0</w:t>
      </w:r>
      <w:r>
        <w:rPr>
          <w:rFonts w:eastAsia="仿宋_GB2312"/>
          <w:sz w:val="32"/>
          <w:szCs w:val="32"/>
        </w:rPr>
        <w:t>辆、特种专业技术用车</w:t>
      </w:r>
      <w:r>
        <w:rPr>
          <w:rFonts w:hint="eastAsia" w:eastAsia="仿宋_GB2312"/>
          <w:sz w:val="32"/>
          <w:szCs w:val="32"/>
          <w:lang w:val="en-US" w:eastAsia="zh-CN"/>
        </w:rPr>
        <w:t>0</w:t>
      </w:r>
      <w:r>
        <w:rPr>
          <w:rFonts w:eastAsia="仿宋_GB2312"/>
          <w:sz w:val="32"/>
          <w:szCs w:val="32"/>
        </w:rPr>
        <w:t>辆、业务用车</w:t>
      </w:r>
      <w:r>
        <w:rPr>
          <w:rFonts w:hint="eastAsia" w:eastAsia="仿宋_GB2312"/>
          <w:sz w:val="32"/>
          <w:szCs w:val="32"/>
          <w:lang w:val="en-US" w:eastAsia="zh-CN"/>
        </w:rPr>
        <w:t>0</w:t>
      </w:r>
      <w:r>
        <w:rPr>
          <w:rFonts w:eastAsia="仿宋_GB2312"/>
          <w:sz w:val="32"/>
          <w:szCs w:val="32"/>
        </w:rPr>
        <w:t>辆、其他用车</w:t>
      </w:r>
      <w:r>
        <w:rPr>
          <w:rFonts w:hint="eastAsia" w:eastAsia="仿宋_GB2312"/>
          <w:sz w:val="32"/>
          <w:szCs w:val="32"/>
          <w:lang w:val="en-US" w:eastAsia="zh-CN"/>
        </w:rPr>
        <w:t>1</w:t>
      </w:r>
      <w:r>
        <w:rPr>
          <w:rFonts w:eastAsia="仿宋_GB2312"/>
          <w:sz w:val="32"/>
          <w:szCs w:val="32"/>
        </w:rPr>
        <w:t>辆等。单价50万元（含）以上的通用设备</w:t>
      </w:r>
      <w:r>
        <w:rPr>
          <w:rFonts w:hint="eastAsia" w:eastAsia="仿宋_GB2312"/>
          <w:sz w:val="32"/>
          <w:szCs w:val="32"/>
          <w:lang w:val="en-US" w:eastAsia="zh-CN"/>
        </w:rPr>
        <w:t>0</w:t>
      </w:r>
      <w:r>
        <w:rPr>
          <w:rFonts w:eastAsia="仿宋_GB2312"/>
          <w:sz w:val="32"/>
          <w:szCs w:val="32"/>
        </w:rPr>
        <w:t>台（套），单价100万元（含）以上的专用设备</w:t>
      </w:r>
      <w:r>
        <w:rPr>
          <w:rFonts w:hint="eastAsia" w:eastAsia="仿宋_GB2312"/>
          <w:sz w:val="32"/>
          <w:szCs w:val="32"/>
          <w:lang w:val="en-US" w:eastAsia="zh-CN"/>
        </w:rPr>
        <w:t>0</w:t>
      </w:r>
      <w:r>
        <w:rPr>
          <w:rFonts w:eastAsia="仿宋_GB2312"/>
          <w:sz w:val="32"/>
          <w:szCs w:val="32"/>
        </w:rPr>
        <w:t>台（套）。</w:t>
      </w:r>
    </w:p>
    <w:p>
      <w:pPr>
        <w:spacing w:line="600" w:lineRule="exact"/>
        <w:ind w:firstLine="640" w:firstLineChars="200"/>
        <w:outlineLvl w:val="2"/>
        <w:rPr>
          <w:rFonts w:eastAsia="黑体" w:cs="黑体"/>
          <w:sz w:val="32"/>
          <w:szCs w:val="36"/>
        </w:rPr>
      </w:pPr>
      <w:r>
        <w:rPr>
          <w:rFonts w:hint="eastAsia" w:eastAsia="黑体" w:cs="黑体"/>
          <w:sz w:val="32"/>
          <w:szCs w:val="36"/>
        </w:rPr>
        <w:t xml:space="preserve">十四、项目绩效目标情况说明 </w:t>
      </w:r>
    </w:p>
    <w:p>
      <w:pPr>
        <w:spacing w:line="600" w:lineRule="exact"/>
        <w:ind w:firstLine="640" w:firstLineChars="200"/>
        <w:rPr>
          <w:rFonts w:eastAsia="仿宋_GB2312" w:cstheme="minorBidi"/>
          <w:sz w:val="32"/>
          <w:szCs w:val="32"/>
        </w:rPr>
      </w:pPr>
      <w:r>
        <w:rPr>
          <w:rFonts w:hint="eastAsia" w:ascii="仿宋_GB2312" w:hAnsi="仿宋_GB2312" w:eastAsia="仿宋_GB2312" w:cs="仿宋"/>
          <w:sz w:val="32"/>
          <w:szCs w:val="32"/>
          <w:u w:val="none"/>
          <w:lang w:eastAsia="zh-CN"/>
        </w:rPr>
        <w:t>巴彦淖尔市房屋产权交易中心</w:t>
      </w:r>
      <w:r>
        <w:rPr>
          <w:rFonts w:hint="eastAsia" w:ascii="仿宋_GB2312" w:hAnsi="仿宋_GB2312" w:eastAsia="仿宋_GB2312" w:cs="仿宋"/>
          <w:sz w:val="32"/>
          <w:szCs w:val="32"/>
          <w:u w:val="none"/>
          <w:lang w:val="en-US" w:eastAsia="zh-CN"/>
        </w:rPr>
        <w:t>2026</w:t>
      </w:r>
      <w:r>
        <w:rPr>
          <w:rFonts w:eastAsia="仿宋_GB2312"/>
          <w:sz w:val="32"/>
          <w:szCs w:val="32"/>
        </w:rPr>
        <w:t>年度</w:t>
      </w:r>
      <w:r>
        <w:rPr>
          <w:rFonts w:hint="eastAsia" w:eastAsia="仿宋_GB2312" w:cstheme="minorBidi"/>
          <w:sz w:val="32"/>
          <w:szCs w:val="32"/>
        </w:rPr>
        <w:t>填报绩效目标的预算项目</w:t>
      </w:r>
      <w:r>
        <w:rPr>
          <w:rFonts w:hint="eastAsia" w:eastAsia="仿宋_GB2312" w:cstheme="minorBidi"/>
          <w:sz w:val="32"/>
          <w:szCs w:val="32"/>
          <w:lang w:val="en-US" w:eastAsia="zh-CN"/>
        </w:rPr>
        <w:t>1</w:t>
      </w:r>
      <w:r>
        <w:rPr>
          <w:rFonts w:hint="eastAsia" w:eastAsia="仿宋_GB2312" w:cstheme="minorBidi"/>
          <w:sz w:val="32"/>
          <w:szCs w:val="32"/>
        </w:rPr>
        <w:t>个，公开项目</w:t>
      </w:r>
      <w:r>
        <w:rPr>
          <w:rFonts w:hint="eastAsia" w:eastAsia="仿宋_GB2312" w:cstheme="minorBidi"/>
          <w:sz w:val="32"/>
          <w:szCs w:val="32"/>
          <w:lang w:val="en-US" w:eastAsia="zh-CN"/>
        </w:rPr>
        <w:t>1</w:t>
      </w:r>
      <w:r>
        <w:rPr>
          <w:rFonts w:hint="eastAsia" w:eastAsia="仿宋_GB2312" w:cstheme="minorBidi"/>
          <w:sz w:val="32"/>
          <w:szCs w:val="32"/>
        </w:rPr>
        <w:t>个，公开项目占全部预算项目的100</w:t>
      </w:r>
      <w:r>
        <w:rPr>
          <w:rFonts w:hint="eastAsia" w:ascii="仿宋_GB2312" w:hAnsi="仿宋_GB2312" w:eastAsia="仿宋_GB2312" w:cstheme="minorBidi"/>
          <w:sz w:val="32"/>
          <w:szCs w:val="32"/>
        </w:rPr>
        <w:t>%</w:t>
      </w:r>
      <w:r>
        <w:rPr>
          <w:rFonts w:hint="eastAsia" w:eastAsia="仿宋_GB2312" w:cstheme="minorBidi"/>
          <w:sz w:val="32"/>
          <w:szCs w:val="32"/>
        </w:rPr>
        <w:t>。公开填报绩效目标的项目预算</w:t>
      </w:r>
      <w:r>
        <w:rPr>
          <w:rFonts w:hint="eastAsia" w:eastAsia="仿宋_GB2312" w:cstheme="minorBidi"/>
          <w:sz w:val="32"/>
          <w:szCs w:val="32"/>
          <w:lang w:val="en-US" w:eastAsia="zh-CN"/>
        </w:rPr>
        <w:t>10</w:t>
      </w:r>
      <w:r>
        <w:rPr>
          <w:rFonts w:hint="eastAsia" w:eastAsia="仿宋_GB2312" w:cstheme="minorBidi"/>
          <w:sz w:val="32"/>
          <w:szCs w:val="32"/>
        </w:rPr>
        <w:t>万元，占全部项目预算的100</w:t>
      </w:r>
      <w:r>
        <w:rPr>
          <w:rFonts w:hint="eastAsia" w:ascii="仿宋_GB2312" w:hAnsi="仿宋_GB2312" w:eastAsia="仿宋_GB2312" w:cstheme="minorBidi"/>
          <w:sz w:val="32"/>
          <w:szCs w:val="32"/>
        </w:rPr>
        <w:t>%</w:t>
      </w:r>
      <w:r>
        <w:rPr>
          <w:rFonts w:hint="eastAsia" w:eastAsia="仿宋_GB2312" w:cstheme="minorBidi"/>
          <w:sz w:val="32"/>
          <w:szCs w:val="32"/>
        </w:rPr>
        <w:t xml:space="preserve">。 </w:t>
      </w:r>
    </w:p>
    <w:p>
      <w:pPr>
        <w:pStyle w:val="2"/>
        <w:spacing w:after="0" w:line="600" w:lineRule="exact"/>
        <w:rPr>
          <w:rFonts w:hint="default" w:ascii="方正小标宋简体" w:hAnsi="方正小标宋简体" w:eastAsia="方正小标宋简体" w:cs="方正小标宋简体"/>
          <w:sz w:val="36"/>
          <w:szCs w:val="36"/>
        </w:rPr>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rPr>
      </w:pPr>
      <w:bookmarkStart w:id="2" w:name="_Toc15573"/>
      <w:r>
        <w:rPr>
          <w:rFonts w:hint="eastAsia" w:ascii="方正小标宋简体" w:hAnsi="方正小标宋简体" w:eastAsia="方正小标宋简体" w:cs="方正小标宋简体"/>
          <w:b/>
          <w:bCs/>
          <w:sz w:val="36"/>
          <w:szCs w:val="36"/>
        </w:rPr>
        <w:t>第三部分  名词解释</w:t>
      </w:r>
      <w:bookmarkEnd w:id="2"/>
    </w:p>
    <w:p>
      <w:pPr>
        <w:rPr>
          <w:sz w:val="36"/>
          <w:szCs w:val="36"/>
        </w:rPr>
      </w:pP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一、财政拨款：</w:t>
      </w:r>
      <w:r>
        <w:rPr>
          <w:rFonts w:hint="eastAsia" w:eastAsia="仿宋_GB2312" w:cstheme="minorBidi"/>
          <w:sz w:val="32"/>
          <w:szCs w:val="32"/>
        </w:rPr>
        <w:t>从同级财政部门取得的各类财政拨款，包括一般公共预算拨款、政府性基金预算拨款、国有资本经营预算拨款。</w:t>
      </w:r>
    </w:p>
    <w:p>
      <w:pPr>
        <w:spacing w:line="600" w:lineRule="exact"/>
        <w:ind w:firstLine="643" w:firstLineChars="200"/>
      </w:pPr>
      <w:r>
        <w:rPr>
          <w:rFonts w:hint="eastAsia" w:eastAsia="仿宋_GB2312" w:cstheme="minorBidi"/>
          <w:b/>
          <w:bCs/>
          <w:sz w:val="32"/>
          <w:szCs w:val="32"/>
        </w:rPr>
        <w:t>二、一般公共预算拨款收入：</w:t>
      </w:r>
      <w:r>
        <w:rPr>
          <w:rFonts w:hint="eastAsia" w:eastAsia="仿宋_GB2312" w:cs="仿宋"/>
          <w:bCs/>
          <w:sz w:val="30"/>
          <w:szCs w:val="30"/>
        </w:rPr>
        <w:t>指财政当年拨付的资金。</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三、财政专户管理资金：</w:t>
      </w:r>
      <w:r>
        <w:rPr>
          <w:rFonts w:hint="eastAsia" w:eastAsia="仿宋_GB2312" w:cstheme="minorBidi"/>
          <w:sz w:val="32"/>
          <w:szCs w:val="32"/>
        </w:rPr>
        <w:t>缴入财政专户、实行专项管理的高中以上学费、住宿费、高校委托培养费、函大、电大、夜大及短训班培训费等教育收费。</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四、单位资金：</w:t>
      </w:r>
      <w:r>
        <w:rPr>
          <w:rFonts w:hint="eastAsia" w:eastAsia="仿宋_GB2312" w:cstheme="minorBidi"/>
          <w:sz w:val="32"/>
          <w:szCs w:val="32"/>
        </w:rPr>
        <w:t>除财政拨款收入和财政专户管理资金以外的收入，包括事业收入（不含教育收费）、上级补助收入、附属单位上缴收入、事业单位经营收入及其他收入（包含债务收入、投资收益等）。</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五、基本支出：</w:t>
      </w:r>
      <w:r>
        <w:rPr>
          <w:rFonts w:hint="eastAsia" w:eastAsia="仿宋_GB2312" w:cstheme="minorBidi"/>
          <w:sz w:val="32"/>
          <w:szCs w:val="32"/>
        </w:rPr>
        <w:t>指为保障机构正常运转、完成工作任务而发生的人员支出和公用支出。</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六、项目支出：</w:t>
      </w:r>
      <w:r>
        <w:rPr>
          <w:rFonts w:hint="eastAsia" w:eastAsia="仿宋_GB2312" w:cstheme="minorBidi"/>
          <w:sz w:val="32"/>
          <w:szCs w:val="32"/>
        </w:rPr>
        <w:t>指在基本支出之外为完成特定工作任务和事业发展目标所发生的支出。</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七、对个人和家庭的补助：</w:t>
      </w:r>
      <w:r>
        <w:rPr>
          <w:rFonts w:hint="eastAsia" w:eastAsia="仿宋_GB2312" w:cstheme="minorBidi"/>
          <w:sz w:val="32"/>
          <w:szCs w:val="32"/>
        </w:rPr>
        <w:t>是指政府用于对个人和家庭的补助支出。</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八、“三公”经费：</w:t>
      </w:r>
      <w:r>
        <w:rPr>
          <w:rFonts w:hint="eastAsia" w:eastAsia="仿宋_GB2312" w:cstheme="minorBidi"/>
          <w:sz w:val="32"/>
          <w:szCs w:val="32"/>
        </w:rPr>
        <w:t>指部门（单位）用一般公共预算财政拨款安排的因公出国（境）费、公务用车购置及运行维护费和公务接待费。其中，因公出国（境）费反映部门（单位）公务出国（境）的住宿费、旅费、伙食补助费、杂费、培训费等支出；公务用车购置及运行维护费反映部门（单位）公务用车购置费、燃料费、维修费、过路过桥费、保险费、安全奖励费用等支出；公务接待费反映部门（单位）按规定开支的各类公务接待（含外宾接待）支出。</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九、机构运行经费：</w:t>
      </w:r>
      <w:r>
        <w:rPr>
          <w:rFonts w:hint="eastAsia" w:eastAsia="仿宋_GB2312" w:cstheme="minorBidi"/>
          <w:sz w:val="32"/>
          <w:szCs w:val="32"/>
        </w:rPr>
        <w:t>指部门（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spacing w:line="600" w:lineRule="exact"/>
        <w:jc w:val="center"/>
        <w:rPr>
          <w:rFonts w:ascii="方正小标宋简体" w:hAnsi="方正小标宋简体" w:eastAsia="方正小标宋简体" w:cs="方正小标宋简体"/>
          <w:sz w:val="36"/>
          <w:szCs w:val="36"/>
        </w:rPr>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bCs/>
          <w:sz w:val="36"/>
          <w:szCs w:val="36"/>
        </w:rPr>
      </w:pPr>
      <w:bookmarkStart w:id="3" w:name="_Toc21331"/>
      <w:r>
        <w:rPr>
          <w:rFonts w:hint="eastAsia" w:ascii="方正小标宋简体" w:hAnsi="方正小标宋简体" w:eastAsia="方正小标宋简体" w:cs="方正小标宋简体"/>
          <w:b/>
          <w:bCs/>
          <w:sz w:val="36"/>
          <w:szCs w:val="36"/>
        </w:rPr>
        <w:t>第四部分  预算公开联系方式及信息反馈渠道</w:t>
      </w:r>
      <w:bookmarkEnd w:id="3"/>
    </w:p>
    <w:p>
      <w:pPr>
        <w:snapToGrid w:val="0"/>
        <w:spacing w:line="600" w:lineRule="exact"/>
        <w:rPr>
          <w:rFonts w:ascii="方正小标宋简体" w:hAnsi="方正小标宋简体" w:eastAsia="方正小标宋简体" w:cs="方正小标宋简体"/>
          <w:sz w:val="36"/>
          <w:szCs w:val="36"/>
        </w:rPr>
      </w:pPr>
    </w:p>
    <w:p>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本单位预算公开信息反馈和联系方式：</w:t>
      </w:r>
    </w:p>
    <w:p>
      <w:pPr>
        <w:snapToGrid w:val="0"/>
        <w:spacing w:line="600" w:lineRule="exact"/>
        <w:ind w:firstLine="640" w:firstLineChars="200"/>
        <w:rPr>
          <w:rFonts w:hint="default" w:ascii="仿宋_GB2312" w:hAnsi="仿宋_GB2312" w:eastAsia="仿宋_GB2312" w:cs="仿宋_GB2312"/>
          <w:sz w:val="32"/>
          <w:szCs w:val="32"/>
          <w:lang w:val="en-US" w:eastAsia="zh-CN"/>
        </w:rPr>
        <w:sectPr>
          <w:pgSz w:w="11910" w:h="16840"/>
          <w:pgMar w:top="1580" w:right="1630" w:bottom="280" w:left="1240" w:header="720" w:footer="720" w:gutter="0"/>
          <w:pgNumType w:fmt="numberInDash"/>
          <w:cols w:space="720" w:num="1"/>
        </w:sectPr>
      </w:pPr>
      <w:r>
        <w:rPr>
          <w:rFonts w:hint="eastAsia" w:ascii="仿宋_GB2312" w:hAnsi="仿宋_GB2312" w:eastAsia="仿宋_GB2312" w:cs="仿宋_GB2312"/>
          <w:sz w:val="32"/>
          <w:szCs w:val="32"/>
        </w:rPr>
        <w:t xml:space="preserve">联系人： </w:t>
      </w:r>
      <w:r>
        <w:rPr>
          <w:rFonts w:hint="eastAsia" w:ascii="仿宋_GB2312" w:hAnsi="仿宋_GB2312" w:eastAsia="仿宋_GB2312" w:cs="仿宋_GB2312"/>
          <w:sz w:val="32"/>
          <w:szCs w:val="32"/>
          <w:lang w:eastAsia="zh-CN"/>
        </w:rPr>
        <w:t>伊拉娜</w:t>
      </w:r>
      <w:r>
        <w:rPr>
          <w:rFonts w:hint="eastAsia" w:ascii="仿宋_GB2312" w:hAnsi="仿宋_GB2312" w:eastAsia="仿宋_GB2312" w:cs="仿宋_GB2312"/>
          <w:sz w:val="32"/>
          <w:szCs w:val="32"/>
        </w:rPr>
        <w:t xml:space="preserve">         联系电话：</w:t>
      </w:r>
      <w:r>
        <w:rPr>
          <w:rFonts w:hint="eastAsia" w:ascii="仿宋_GB2312" w:hAnsi="仿宋_GB2312" w:eastAsia="仿宋_GB2312" w:cs="仿宋_GB2312"/>
          <w:sz w:val="32"/>
          <w:szCs w:val="32"/>
          <w:lang w:val="en-US" w:eastAsia="zh-CN"/>
        </w:rPr>
        <w:t>0478-8298513</w:t>
      </w:r>
    </w:p>
    <w:p>
      <w:pPr>
        <w:pStyle w:val="2"/>
        <w:ind w:left="0" w:leftChars="0" w:firstLine="0"/>
        <w:rPr>
          <w:rFonts w:hint="default"/>
        </w:rPr>
      </w:pPr>
    </w:p>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CA47C96-43DE-468D-B6DF-7F2BAA3EAEF2}"/>
  </w:font>
  <w:font w:name="黑体">
    <w:panose1 w:val="02010609060101010101"/>
    <w:charset w:val="86"/>
    <w:family w:val="auto"/>
    <w:pitch w:val="default"/>
    <w:sig w:usb0="800002BF" w:usb1="38CF7CFA" w:usb2="00000016" w:usb3="00000000" w:csb0="00040001" w:csb1="00000000"/>
    <w:embedRegular r:id="rId2" w:fontKey="{14C80933-84F6-4DE1-B79D-CA1B7810EBA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80F0DD02-4CD3-48FA-82C0-974E90262F5F}"/>
  </w:font>
  <w:font w:name="Calibri">
    <w:panose1 w:val="020F0502020204030204"/>
    <w:charset w:val="00"/>
    <w:family w:val="swiss"/>
    <w:pitch w:val="default"/>
    <w:sig w:usb0="E00002FF" w:usb1="4000ACFF" w:usb2="00000001" w:usb3="00000000" w:csb0="2000019F" w:csb1="00000000"/>
  </w:font>
  <w:font w:name="等线 Light">
    <w:altName w:val="仿宋_GB2312"/>
    <w:panose1 w:val="00000000000000000000"/>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4" w:fontKey="{84FEC999-B3DE-4F38-A2CB-181E860821CB}"/>
  </w:font>
  <w:font w:name="等线">
    <w:altName w:val="仿宋_GB2312"/>
    <w:panose1 w:val="00000000000000000000"/>
    <w:charset w:val="86"/>
    <w:family w:val="auto"/>
    <w:pitch w:val="default"/>
    <w:sig w:usb0="00000000" w:usb1="00000000" w:usb2="00000016" w:usb3="00000000" w:csb0="0004000F" w:csb1="00000000"/>
  </w:font>
  <w:font w:name="Helvetica">
    <w:altName w:val="Arial"/>
    <w:panose1 w:val="020B0604020202020204"/>
    <w:charset w:val="00"/>
    <w:family w:val="swiss"/>
    <w:pitch w:val="default"/>
    <w:sig w:usb0="00000000" w:usb1="00000000" w:usb2="00000000" w:usb3="00000000" w:csb0="00000001" w:csb1="00000000"/>
  </w:font>
  <w:font w:name="Courier">
    <w:altName w:val="Courier New"/>
    <w:panose1 w:val="02070409020205020404"/>
    <w:charset w:val="00"/>
    <w:family w:val="modern"/>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Helv">
    <w:altName w:val="Segoe Print"/>
    <w:panose1 w:val="020B0604020202030204"/>
    <w:charset w:val="00"/>
    <w:family w:val="swiss"/>
    <w:pitch w:val="default"/>
    <w:sig w:usb0="00000000" w:usb1="00000000" w:usb2="00000000" w:usb3="00000000" w:csb0="00000001" w:csb1="00000000"/>
  </w:font>
  <w:font w:name="New York">
    <w:altName w:val="DejaVu Math TeX Gyre"/>
    <w:panose1 w:val="02040503060506020304"/>
    <w:charset w:val="00"/>
    <w:family w:val="roman"/>
    <w:pitch w:val="default"/>
    <w:sig w:usb0="00000000" w:usb1="00000000" w:usb2="00000000" w:usb3="00000000" w:csb0="00000001"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altName w:val="仿宋_GB2312"/>
    <w:panose1 w:val="02000000000000000000"/>
    <w:charset w:val="86"/>
    <w:family w:val="script"/>
    <w:pitch w:val="default"/>
    <w:sig w:usb0="00000000" w:usb1="00000000" w:usb2="00000012" w:usb3="00000000" w:csb0="00040001" w:csb1="00000000"/>
    <w:embedRegular r:id="rId5" w:fontKey="{13EFF436-5F0A-4A34-9AE9-731B24E416BA}"/>
  </w:font>
  <w:font w:name="仿宋">
    <w:panose1 w:val="02010609060101010101"/>
    <w:charset w:val="86"/>
    <w:family w:val="modern"/>
    <w:pitch w:val="default"/>
    <w:sig w:usb0="800002BF" w:usb1="38CF7CFA" w:usb2="00000016" w:usb3="00000000" w:csb0="00040001" w:csb1="00000000"/>
    <w:embedRegular r:id="rId6" w:fontKey="{DB854B8F-8260-44BC-9119-D75843879791}"/>
  </w:font>
  <w:font w:name="楷体_GB2312">
    <w:altName w:val="楷体"/>
    <w:panose1 w:val="02010609030101010101"/>
    <w:charset w:val="86"/>
    <w:family w:val="modern"/>
    <w:pitch w:val="default"/>
    <w:sig w:usb0="00000000" w:usb1="00000000" w:usb2="00000000" w:usb3="00000000" w:csb0="00000000" w:csb1="00000000"/>
    <w:embedRegular r:id="rId7" w:fontKey="{DEE7AB96-8E41-4805-A214-DEA6A34CE317}"/>
  </w:font>
  <w:font w:name="楷体">
    <w:panose1 w:val="02010609060101010101"/>
    <w:charset w:val="86"/>
    <w:family w:val="auto"/>
    <w:pitch w:val="default"/>
    <w:sig w:usb0="800002BF" w:usb1="38CF7CFA" w:usb2="00000016" w:usb3="00000000" w:csb0="00040001" w:csb1="00000000"/>
    <w:embedRegular r:id="rId8" w:fontKey="{983002EE-B883-407F-A278-8021F0B822F5}"/>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mc:AlternateContent>
        <mc:Choice Requires="wps">
          <w:drawing>
            <wp:anchor distT="0" distB="0" distL="114300" distR="114300" simplePos="0" relativeHeight="251660288" behindDoc="0" locked="0" layoutInCell="1" allowOverlap="1">
              <wp:simplePos x="0" y="0"/>
              <wp:positionH relativeFrom="margin">
                <wp:posOffset>2600960</wp:posOffset>
              </wp:positionH>
              <wp:positionV relativeFrom="paragraph">
                <wp:posOffset>17780</wp:posOffset>
              </wp:positionV>
              <wp:extent cx="795655" cy="3517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a:effectLst/>
                    </wps:spPr>
                    <wps:txbx>
                      <w:txbxContent>
                        <w:p>
                          <w:pPr>
                            <w:pStyle w:val="1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- 28 -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4.8pt;margin-top:1.4pt;height:27.7pt;width:62.65pt;mso-position-horizontal-relative:margin;z-index:251660288;mso-width-relative:page;mso-height-relative:page;" filled="f" stroked="f" coordsize="21600,21600" o:gfxdata="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KXusu1wAAAAgBAAAPAAAAAAAAAAEAIAAAACIAAABkcnMvZG93bnJl&#10;di54bWxQSwECFAAUAAAACACHTuJAQOz+WTcCAABjBAAADgAAAAAAAAABACAAAAAmAQAAZHJzL2Uy&#10;b0RvYy54bWxQSwUGAAAAAAYABgBZAQAAzwUAAAAA&#10;">
              <v:fill on="f" focussize="0,0"/>
              <v:stroke on="f" weight="0.5pt"/>
              <v:imagedata o:title=""/>
              <o:lock v:ext="edit" aspectratio="f"/>
              <v:textbox inset="0mm,0mm,0mm,0mm">
                <w:txbxContent>
                  <w:p>
                    <w:pPr>
                      <w:pStyle w:val="1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- 28 -</w:t>
                    </w:r>
                    <w:r>
                      <w:rPr>
                        <w:sz w:val="24"/>
                        <w:szCs w:val="24"/>
                      </w:rPr>
                      <w:fldChar w:fldCharType="end"/>
                    </w:r>
                  </w:p>
                </w:txbxContent>
              </v:textbox>
            </v:shape>
          </w:pict>
        </mc:Fallback>
      </mc:AlternateContent>
    </w:r>
  </w:p>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a:effectLst/>
                    </wps:spPr>
                    <wps:txbx>
                      <w:txbxContent>
                        <w:p>
                          <w:pPr>
                            <w:pStyle w:val="1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- 72 -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59264;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hw6XZ9QAAAAEAQAADwAAAAAAAAABACAAAAAiAAAAZHJzL2Rvd25yZXYu&#10;eG1sUEsBAhQAFAAAAAgAh07iQMkIguA4AgAAYwQAAA4AAAAAAAAAAQAgAAAAIwEAAGRycy9lMm9E&#10;b2MueG1sUEsFBgAAAAAGAAYAWQEAAM0FAAAAAA==&#10;">
              <v:fill on="f" focussize="0,0"/>
              <v:stroke on="f" weight="0.5pt"/>
              <v:imagedata o:title=""/>
              <o:lock v:ext="edit" aspectratio="f"/>
              <v:textbox inset="0mm,0mm,0mm,0mm">
                <w:txbxContent>
                  <w:p>
                    <w:pPr>
                      <w:pStyle w:val="1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- 72 -</w:t>
                    </w:r>
                    <w:r>
                      <w:rPr>
                        <w:sz w:val="24"/>
                        <w:szCs w:val="24"/>
                      </w:rPr>
                      <w:fldChar w:fldCharType="end"/>
                    </w:r>
                  </w:p>
                </w:txbxContent>
              </v:textbox>
            </v:shape>
          </w:pict>
        </mc:Fallback>
      </mc:AlternateContent>
    </w:r>
  </w:p>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65B7C3"/>
    <w:multiLevelType w:val="singleLevel"/>
    <w:tmpl w:val="3265B7C3"/>
    <w:lvl w:ilvl="0" w:tentative="0">
      <w:start w:val="1"/>
      <w:numFmt w:val="chineseCounting"/>
      <w:suff w:val="nothing"/>
      <w:lvlText w:val="%1、"/>
      <w:lvlJc w:val="left"/>
      <w:rPr>
        <w:rFonts w:hint="eastAsia"/>
      </w:rPr>
    </w:lvl>
  </w:abstractNum>
  <w:abstractNum w:abstractNumId="1">
    <w:nsid w:val="57B80ED3"/>
    <w:multiLevelType w:val="singleLevel"/>
    <w:tmpl w:val="57B80ED3"/>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yZTZiOWNhNTRkM2JiNDQwZWRmZDZjZTIwNDhiY2IifQ=="/>
  </w:docVars>
  <w:rsids>
    <w:rsidRoot w:val="00172A27"/>
    <w:rsid w:val="00000CBF"/>
    <w:rsid w:val="000034CD"/>
    <w:rsid w:val="00003B87"/>
    <w:rsid w:val="000106AF"/>
    <w:rsid w:val="00010F09"/>
    <w:rsid w:val="00010F57"/>
    <w:rsid w:val="00014729"/>
    <w:rsid w:val="000168E2"/>
    <w:rsid w:val="00016E30"/>
    <w:rsid w:val="0001778D"/>
    <w:rsid w:val="00023930"/>
    <w:rsid w:val="0002537D"/>
    <w:rsid w:val="000267C9"/>
    <w:rsid w:val="000316D6"/>
    <w:rsid w:val="00034C3D"/>
    <w:rsid w:val="00035935"/>
    <w:rsid w:val="00035BD9"/>
    <w:rsid w:val="00037650"/>
    <w:rsid w:val="000408B3"/>
    <w:rsid w:val="000409C6"/>
    <w:rsid w:val="00040A7B"/>
    <w:rsid w:val="0004437D"/>
    <w:rsid w:val="00044D5A"/>
    <w:rsid w:val="00047F92"/>
    <w:rsid w:val="000517C8"/>
    <w:rsid w:val="00052722"/>
    <w:rsid w:val="00052AB3"/>
    <w:rsid w:val="000530B5"/>
    <w:rsid w:val="000547DF"/>
    <w:rsid w:val="00056E21"/>
    <w:rsid w:val="00063642"/>
    <w:rsid w:val="00065474"/>
    <w:rsid w:val="00071596"/>
    <w:rsid w:val="00073EED"/>
    <w:rsid w:val="00080B1C"/>
    <w:rsid w:val="00082025"/>
    <w:rsid w:val="000843F5"/>
    <w:rsid w:val="00084B87"/>
    <w:rsid w:val="00084C61"/>
    <w:rsid w:val="00084EE5"/>
    <w:rsid w:val="00085C93"/>
    <w:rsid w:val="00087A5E"/>
    <w:rsid w:val="00090945"/>
    <w:rsid w:val="00094212"/>
    <w:rsid w:val="00094289"/>
    <w:rsid w:val="00094579"/>
    <w:rsid w:val="0009486F"/>
    <w:rsid w:val="00097AD5"/>
    <w:rsid w:val="00097E70"/>
    <w:rsid w:val="000A3463"/>
    <w:rsid w:val="000A3CBA"/>
    <w:rsid w:val="000B179A"/>
    <w:rsid w:val="000B19DD"/>
    <w:rsid w:val="000B271C"/>
    <w:rsid w:val="000B3090"/>
    <w:rsid w:val="000B395D"/>
    <w:rsid w:val="000B4C87"/>
    <w:rsid w:val="000B5E2F"/>
    <w:rsid w:val="000B75C9"/>
    <w:rsid w:val="000C2547"/>
    <w:rsid w:val="000C2657"/>
    <w:rsid w:val="000C3B4A"/>
    <w:rsid w:val="000C7570"/>
    <w:rsid w:val="000D1A18"/>
    <w:rsid w:val="000D4710"/>
    <w:rsid w:val="000E093A"/>
    <w:rsid w:val="000E597B"/>
    <w:rsid w:val="000E63BF"/>
    <w:rsid w:val="000F0BD4"/>
    <w:rsid w:val="000F344F"/>
    <w:rsid w:val="000F6C2D"/>
    <w:rsid w:val="000F7468"/>
    <w:rsid w:val="000F746A"/>
    <w:rsid w:val="00102140"/>
    <w:rsid w:val="00106E16"/>
    <w:rsid w:val="001114EC"/>
    <w:rsid w:val="00112A96"/>
    <w:rsid w:val="001133DF"/>
    <w:rsid w:val="00114F9E"/>
    <w:rsid w:val="001151B8"/>
    <w:rsid w:val="00122854"/>
    <w:rsid w:val="00122B22"/>
    <w:rsid w:val="00123EEA"/>
    <w:rsid w:val="00126508"/>
    <w:rsid w:val="001329DF"/>
    <w:rsid w:val="001342A7"/>
    <w:rsid w:val="00142E3E"/>
    <w:rsid w:val="001432CD"/>
    <w:rsid w:val="0014381D"/>
    <w:rsid w:val="0014464F"/>
    <w:rsid w:val="00152205"/>
    <w:rsid w:val="00153AFD"/>
    <w:rsid w:val="00155332"/>
    <w:rsid w:val="00155E13"/>
    <w:rsid w:val="00157214"/>
    <w:rsid w:val="001602D6"/>
    <w:rsid w:val="00163244"/>
    <w:rsid w:val="00163F67"/>
    <w:rsid w:val="00172A27"/>
    <w:rsid w:val="001735FD"/>
    <w:rsid w:val="001738CA"/>
    <w:rsid w:val="00175368"/>
    <w:rsid w:val="001802D6"/>
    <w:rsid w:val="00183BED"/>
    <w:rsid w:val="00191536"/>
    <w:rsid w:val="00193879"/>
    <w:rsid w:val="001940E1"/>
    <w:rsid w:val="00196BA0"/>
    <w:rsid w:val="0019719A"/>
    <w:rsid w:val="001A02B5"/>
    <w:rsid w:val="001A1BDF"/>
    <w:rsid w:val="001A2F89"/>
    <w:rsid w:val="001A3158"/>
    <w:rsid w:val="001A3CE2"/>
    <w:rsid w:val="001A5241"/>
    <w:rsid w:val="001B012D"/>
    <w:rsid w:val="001B0DDF"/>
    <w:rsid w:val="001B1449"/>
    <w:rsid w:val="001B3621"/>
    <w:rsid w:val="001B4457"/>
    <w:rsid w:val="001B5368"/>
    <w:rsid w:val="001B5886"/>
    <w:rsid w:val="001B5EC9"/>
    <w:rsid w:val="001B7FCD"/>
    <w:rsid w:val="001C0CDF"/>
    <w:rsid w:val="001C4010"/>
    <w:rsid w:val="001C6BF1"/>
    <w:rsid w:val="001D3C7E"/>
    <w:rsid w:val="001D6D0B"/>
    <w:rsid w:val="001D7958"/>
    <w:rsid w:val="001E0433"/>
    <w:rsid w:val="001E3429"/>
    <w:rsid w:val="001E68D8"/>
    <w:rsid w:val="001E76DB"/>
    <w:rsid w:val="001F4C1E"/>
    <w:rsid w:val="001F6B7A"/>
    <w:rsid w:val="00200204"/>
    <w:rsid w:val="002015D3"/>
    <w:rsid w:val="002039F1"/>
    <w:rsid w:val="002044DF"/>
    <w:rsid w:val="002049F7"/>
    <w:rsid w:val="0021312E"/>
    <w:rsid w:val="0021383F"/>
    <w:rsid w:val="00214BEE"/>
    <w:rsid w:val="0021585B"/>
    <w:rsid w:val="0021600A"/>
    <w:rsid w:val="0021726C"/>
    <w:rsid w:val="00217770"/>
    <w:rsid w:val="00220C2A"/>
    <w:rsid w:val="00221E65"/>
    <w:rsid w:val="002240B1"/>
    <w:rsid w:val="0022415F"/>
    <w:rsid w:val="00224835"/>
    <w:rsid w:val="00224F3D"/>
    <w:rsid w:val="00225C23"/>
    <w:rsid w:val="00233D9B"/>
    <w:rsid w:val="00236FA6"/>
    <w:rsid w:val="00240094"/>
    <w:rsid w:val="00241B6B"/>
    <w:rsid w:val="002431E6"/>
    <w:rsid w:val="0024416D"/>
    <w:rsid w:val="00244B90"/>
    <w:rsid w:val="00245FFD"/>
    <w:rsid w:val="0025052F"/>
    <w:rsid w:val="0025133B"/>
    <w:rsid w:val="002519F2"/>
    <w:rsid w:val="00251E52"/>
    <w:rsid w:val="00252024"/>
    <w:rsid w:val="00252295"/>
    <w:rsid w:val="002604EC"/>
    <w:rsid w:val="0026390E"/>
    <w:rsid w:val="00266811"/>
    <w:rsid w:val="002670EA"/>
    <w:rsid w:val="00270D49"/>
    <w:rsid w:val="002742F8"/>
    <w:rsid w:val="002748BD"/>
    <w:rsid w:val="00274A4D"/>
    <w:rsid w:val="00274E33"/>
    <w:rsid w:val="00286355"/>
    <w:rsid w:val="00286B1A"/>
    <w:rsid w:val="00287D92"/>
    <w:rsid w:val="00290958"/>
    <w:rsid w:val="00291FC4"/>
    <w:rsid w:val="002926AE"/>
    <w:rsid w:val="00293A42"/>
    <w:rsid w:val="00293F3B"/>
    <w:rsid w:val="00294D1F"/>
    <w:rsid w:val="002A25F0"/>
    <w:rsid w:val="002A38DC"/>
    <w:rsid w:val="002A3F94"/>
    <w:rsid w:val="002A4CC2"/>
    <w:rsid w:val="002B0E96"/>
    <w:rsid w:val="002B21CC"/>
    <w:rsid w:val="002B3658"/>
    <w:rsid w:val="002B37C5"/>
    <w:rsid w:val="002B7E88"/>
    <w:rsid w:val="002D028A"/>
    <w:rsid w:val="002D27EE"/>
    <w:rsid w:val="002D2D64"/>
    <w:rsid w:val="002D3180"/>
    <w:rsid w:val="002D4EA7"/>
    <w:rsid w:val="002D6124"/>
    <w:rsid w:val="002D6167"/>
    <w:rsid w:val="002D70B8"/>
    <w:rsid w:val="002D7791"/>
    <w:rsid w:val="002D7AEB"/>
    <w:rsid w:val="002D7FE5"/>
    <w:rsid w:val="002F0AEA"/>
    <w:rsid w:val="002F0CEB"/>
    <w:rsid w:val="002F1022"/>
    <w:rsid w:val="002F2712"/>
    <w:rsid w:val="002F73C2"/>
    <w:rsid w:val="002F7AA1"/>
    <w:rsid w:val="0030209D"/>
    <w:rsid w:val="00304A27"/>
    <w:rsid w:val="0030703E"/>
    <w:rsid w:val="00307477"/>
    <w:rsid w:val="003115CC"/>
    <w:rsid w:val="00313750"/>
    <w:rsid w:val="00316EA0"/>
    <w:rsid w:val="00321A3C"/>
    <w:rsid w:val="0033160F"/>
    <w:rsid w:val="00331DB0"/>
    <w:rsid w:val="003337F4"/>
    <w:rsid w:val="00335EEB"/>
    <w:rsid w:val="00337D32"/>
    <w:rsid w:val="003406D1"/>
    <w:rsid w:val="0034673B"/>
    <w:rsid w:val="00351751"/>
    <w:rsid w:val="00351CBC"/>
    <w:rsid w:val="00352172"/>
    <w:rsid w:val="00355342"/>
    <w:rsid w:val="00356692"/>
    <w:rsid w:val="00356F2E"/>
    <w:rsid w:val="003575C9"/>
    <w:rsid w:val="0036025D"/>
    <w:rsid w:val="00361339"/>
    <w:rsid w:val="003617B4"/>
    <w:rsid w:val="003631E0"/>
    <w:rsid w:val="003655C7"/>
    <w:rsid w:val="003666F6"/>
    <w:rsid w:val="00367F5C"/>
    <w:rsid w:val="00367FEB"/>
    <w:rsid w:val="00370C21"/>
    <w:rsid w:val="0037119D"/>
    <w:rsid w:val="00371460"/>
    <w:rsid w:val="00371E38"/>
    <w:rsid w:val="00374C99"/>
    <w:rsid w:val="00374EC2"/>
    <w:rsid w:val="00375717"/>
    <w:rsid w:val="00377F83"/>
    <w:rsid w:val="00385C9F"/>
    <w:rsid w:val="00385D9C"/>
    <w:rsid w:val="00386A78"/>
    <w:rsid w:val="00387B4F"/>
    <w:rsid w:val="00387FDC"/>
    <w:rsid w:val="003900E4"/>
    <w:rsid w:val="003908AD"/>
    <w:rsid w:val="003944BB"/>
    <w:rsid w:val="003945B5"/>
    <w:rsid w:val="00394D62"/>
    <w:rsid w:val="00395D0B"/>
    <w:rsid w:val="00397362"/>
    <w:rsid w:val="003A003A"/>
    <w:rsid w:val="003A1185"/>
    <w:rsid w:val="003A3E3C"/>
    <w:rsid w:val="003A3F4A"/>
    <w:rsid w:val="003A4972"/>
    <w:rsid w:val="003B4A14"/>
    <w:rsid w:val="003B5570"/>
    <w:rsid w:val="003B77B6"/>
    <w:rsid w:val="003C31AB"/>
    <w:rsid w:val="003C35CD"/>
    <w:rsid w:val="003C43EA"/>
    <w:rsid w:val="003C4F65"/>
    <w:rsid w:val="003C53D2"/>
    <w:rsid w:val="003C7866"/>
    <w:rsid w:val="003D0971"/>
    <w:rsid w:val="003D3C90"/>
    <w:rsid w:val="003D5CBF"/>
    <w:rsid w:val="003E02C3"/>
    <w:rsid w:val="003E18C9"/>
    <w:rsid w:val="003F567D"/>
    <w:rsid w:val="003F7782"/>
    <w:rsid w:val="00400588"/>
    <w:rsid w:val="00406AC9"/>
    <w:rsid w:val="0041073B"/>
    <w:rsid w:val="0041167C"/>
    <w:rsid w:val="004138A8"/>
    <w:rsid w:val="0041426C"/>
    <w:rsid w:val="00416FDF"/>
    <w:rsid w:val="00417B37"/>
    <w:rsid w:val="0042054B"/>
    <w:rsid w:val="00420D95"/>
    <w:rsid w:val="004253B8"/>
    <w:rsid w:val="00425ED7"/>
    <w:rsid w:val="00426740"/>
    <w:rsid w:val="00427C2F"/>
    <w:rsid w:val="0043128C"/>
    <w:rsid w:val="00434D44"/>
    <w:rsid w:val="0044228B"/>
    <w:rsid w:val="00442688"/>
    <w:rsid w:val="00442AED"/>
    <w:rsid w:val="00442D5D"/>
    <w:rsid w:val="00444B82"/>
    <w:rsid w:val="004459F0"/>
    <w:rsid w:val="00454633"/>
    <w:rsid w:val="00454737"/>
    <w:rsid w:val="00455BF8"/>
    <w:rsid w:val="00456DB3"/>
    <w:rsid w:val="00456EAD"/>
    <w:rsid w:val="004604FE"/>
    <w:rsid w:val="004611A8"/>
    <w:rsid w:val="00467117"/>
    <w:rsid w:val="00467D70"/>
    <w:rsid w:val="00467DC5"/>
    <w:rsid w:val="004702DB"/>
    <w:rsid w:val="00470C8E"/>
    <w:rsid w:val="00473D33"/>
    <w:rsid w:val="004769DB"/>
    <w:rsid w:val="00481EB5"/>
    <w:rsid w:val="00482B89"/>
    <w:rsid w:val="004833E7"/>
    <w:rsid w:val="00483401"/>
    <w:rsid w:val="00491B17"/>
    <w:rsid w:val="004931F8"/>
    <w:rsid w:val="00494023"/>
    <w:rsid w:val="004967F7"/>
    <w:rsid w:val="00497241"/>
    <w:rsid w:val="004A1F81"/>
    <w:rsid w:val="004A20B6"/>
    <w:rsid w:val="004A2789"/>
    <w:rsid w:val="004A2DF3"/>
    <w:rsid w:val="004A2FCA"/>
    <w:rsid w:val="004A3875"/>
    <w:rsid w:val="004A7AF4"/>
    <w:rsid w:val="004B048E"/>
    <w:rsid w:val="004B143B"/>
    <w:rsid w:val="004B174D"/>
    <w:rsid w:val="004B5933"/>
    <w:rsid w:val="004C500C"/>
    <w:rsid w:val="004C5FFC"/>
    <w:rsid w:val="004C74F7"/>
    <w:rsid w:val="004D1253"/>
    <w:rsid w:val="004D158E"/>
    <w:rsid w:val="004D2861"/>
    <w:rsid w:val="004D5666"/>
    <w:rsid w:val="004D6BB1"/>
    <w:rsid w:val="004D7A03"/>
    <w:rsid w:val="004D7DBF"/>
    <w:rsid w:val="004E0454"/>
    <w:rsid w:val="004E06ED"/>
    <w:rsid w:val="004E1457"/>
    <w:rsid w:val="004E4A43"/>
    <w:rsid w:val="004E4BBF"/>
    <w:rsid w:val="004F2CDD"/>
    <w:rsid w:val="004F4D87"/>
    <w:rsid w:val="004F55CD"/>
    <w:rsid w:val="004F58A0"/>
    <w:rsid w:val="004F5F12"/>
    <w:rsid w:val="004F6692"/>
    <w:rsid w:val="004F77B0"/>
    <w:rsid w:val="00501EEF"/>
    <w:rsid w:val="00502A31"/>
    <w:rsid w:val="00505021"/>
    <w:rsid w:val="00506790"/>
    <w:rsid w:val="00510EFF"/>
    <w:rsid w:val="00511717"/>
    <w:rsid w:val="00511B53"/>
    <w:rsid w:val="005146EE"/>
    <w:rsid w:val="005160E3"/>
    <w:rsid w:val="005161E3"/>
    <w:rsid w:val="00516B40"/>
    <w:rsid w:val="005203F0"/>
    <w:rsid w:val="00521E09"/>
    <w:rsid w:val="00525EB0"/>
    <w:rsid w:val="00535551"/>
    <w:rsid w:val="0053664B"/>
    <w:rsid w:val="00540718"/>
    <w:rsid w:val="00540B71"/>
    <w:rsid w:val="00541F46"/>
    <w:rsid w:val="0054292B"/>
    <w:rsid w:val="005440BF"/>
    <w:rsid w:val="0054661A"/>
    <w:rsid w:val="005510D1"/>
    <w:rsid w:val="00552574"/>
    <w:rsid w:val="00554DCA"/>
    <w:rsid w:val="00556C59"/>
    <w:rsid w:val="00557E0E"/>
    <w:rsid w:val="005604D0"/>
    <w:rsid w:val="005614CC"/>
    <w:rsid w:val="005615F3"/>
    <w:rsid w:val="0056225D"/>
    <w:rsid w:val="00562E92"/>
    <w:rsid w:val="005639FA"/>
    <w:rsid w:val="0056420B"/>
    <w:rsid w:val="00564ABA"/>
    <w:rsid w:val="005653F5"/>
    <w:rsid w:val="00571BB6"/>
    <w:rsid w:val="00572A14"/>
    <w:rsid w:val="0057572A"/>
    <w:rsid w:val="00576A02"/>
    <w:rsid w:val="0058236D"/>
    <w:rsid w:val="00582BA2"/>
    <w:rsid w:val="00583D19"/>
    <w:rsid w:val="0058789A"/>
    <w:rsid w:val="00593F60"/>
    <w:rsid w:val="00594E72"/>
    <w:rsid w:val="00594E89"/>
    <w:rsid w:val="00595732"/>
    <w:rsid w:val="005957A8"/>
    <w:rsid w:val="005A0020"/>
    <w:rsid w:val="005A0592"/>
    <w:rsid w:val="005A09E0"/>
    <w:rsid w:val="005A1BC7"/>
    <w:rsid w:val="005A7383"/>
    <w:rsid w:val="005B155E"/>
    <w:rsid w:val="005B1651"/>
    <w:rsid w:val="005B1D05"/>
    <w:rsid w:val="005B544A"/>
    <w:rsid w:val="005B570B"/>
    <w:rsid w:val="005B5DBA"/>
    <w:rsid w:val="005B5ECD"/>
    <w:rsid w:val="005C5D3B"/>
    <w:rsid w:val="005C773C"/>
    <w:rsid w:val="005D2118"/>
    <w:rsid w:val="005D476C"/>
    <w:rsid w:val="005D5AEF"/>
    <w:rsid w:val="005E031D"/>
    <w:rsid w:val="005E2226"/>
    <w:rsid w:val="005F007E"/>
    <w:rsid w:val="005F22D5"/>
    <w:rsid w:val="005F2659"/>
    <w:rsid w:val="005F3198"/>
    <w:rsid w:val="005F5238"/>
    <w:rsid w:val="005F5B86"/>
    <w:rsid w:val="00603A8C"/>
    <w:rsid w:val="00607135"/>
    <w:rsid w:val="00610D76"/>
    <w:rsid w:val="0061425B"/>
    <w:rsid w:val="00615CCA"/>
    <w:rsid w:val="00616504"/>
    <w:rsid w:val="00616551"/>
    <w:rsid w:val="00617C3C"/>
    <w:rsid w:val="00623384"/>
    <w:rsid w:val="006236AD"/>
    <w:rsid w:val="0063195F"/>
    <w:rsid w:val="00632944"/>
    <w:rsid w:val="006355A9"/>
    <w:rsid w:val="00637A4F"/>
    <w:rsid w:val="00641CD5"/>
    <w:rsid w:val="00642BB6"/>
    <w:rsid w:val="00644031"/>
    <w:rsid w:val="00644FBC"/>
    <w:rsid w:val="00647134"/>
    <w:rsid w:val="00652DB9"/>
    <w:rsid w:val="0065703E"/>
    <w:rsid w:val="006575E7"/>
    <w:rsid w:val="00657673"/>
    <w:rsid w:val="00661E32"/>
    <w:rsid w:val="00662CCA"/>
    <w:rsid w:val="00662EC6"/>
    <w:rsid w:val="00662F26"/>
    <w:rsid w:val="00665B56"/>
    <w:rsid w:val="006720DF"/>
    <w:rsid w:val="00672743"/>
    <w:rsid w:val="00681E9C"/>
    <w:rsid w:val="00682B2E"/>
    <w:rsid w:val="00683341"/>
    <w:rsid w:val="006853C1"/>
    <w:rsid w:val="0068695A"/>
    <w:rsid w:val="00686C54"/>
    <w:rsid w:val="00687D34"/>
    <w:rsid w:val="00691B56"/>
    <w:rsid w:val="00691CC7"/>
    <w:rsid w:val="00691D88"/>
    <w:rsid w:val="00691EC8"/>
    <w:rsid w:val="00693C36"/>
    <w:rsid w:val="0069508B"/>
    <w:rsid w:val="00695904"/>
    <w:rsid w:val="006966EC"/>
    <w:rsid w:val="0069730F"/>
    <w:rsid w:val="00697930"/>
    <w:rsid w:val="006A0A1B"/>
    <w:rsid w:val="006A1B40"/>
    <w:rsid w:val="006A29F4"/>
    <w:rsid w:val="006A33FD"/>
    <w:rsid w:val="006A4D49"/>
    <w:rsid w:val="006A5098"/>
    <w:rsid w:val="006A623D"/>
    <w:rsid w:val="006B1149"/>
    <w:rsid w:val="006B1F4E"/>
    <w:rsid w:val="006B35D8"/>
    <w:rsid w:val="006B5EC7"/>
    <w:rsid w:val="006B6C41"/>
    <w:rsid w:val="006C0F17"/>
    <w:rsid w:val="006C3341"/>
    <w:rsid w:val="006C3359"/>
    <w:rsid w:val="006C4A23"/>
    <w:rsid w:val="006C5697"/>
    <w:rsid w:val="006C6FF2"/>
    <w:rsid w:val="006C79FA"/>
    <w:rsid w:val="006C7ECE"/>
    <w:rsid w:val="006D10E1"/>
    <w:rsid w:val="006D3BB4"/>
    <w:rsid w:val="006D4EAB"/>
    <w:rsid w:val="006F04BC"/>
    <w:rsid w:val="006F520F"/>
    <w:rsid w:val="00700A16"/>
    <w:rsid w:val="00701E0C"/>
    <w:rsid w:val="0070236E"/>
    <w:rsid w:val="00702E1F"/>
    <w:rsid w:val="00705D96"/>
    <w:rsid w:val="00706BD6"/>
    <w:rsid w:val="00710B15"/>
    <w:rsid w:val="00710DBC"/>
    <w:rsid w:val="00710F2F"/>
    <w:rsid w:val="00711981"/>
    <w:rsid w:val="00712513"/>
    <w:rsid w:val="00714FCB"/>
    <w:rsid w:val="00716714"/>
    <w:rsid w:val="00717855"/>
    <w:rsid w:val="007208BC"/>
    <w:rsid w:val="007223AD"/>
    <w:rsid w:val="0072313B"/>
    <w:rsid w:val="0073016A"/>
    <w:rsid w:val="007319CE"/>
    <w:rsid w:val="0073502E"/>
    <w:rsid w:val="00735453"/>
    <w:rsid w:val="0074153A"/>
    <w:rsid w:val="00741A58"/>
    <w:rsid w:val="007438FA"/>
    <w:rsid w:val="007444F9"/>
    <w:rsid w:val="00745662"/>
    <w:rsid w:val="00746BB0"/>
    <w:rsid w:val="007500F5"/>
    <w:rsid w:val="00751B12"/>
    <w:rsid w:val="007525B4"/>
    <w:rsid w:val="0075361E"/>
    <w:rsid w:val="007546A6"/>
    <w:rsid w:val="00755B39"/>
    <w:rsid w:val="00756505"/>
    <w:rsid w:val="007602DD"/>
    <w:rsid w:val="00760CD7"/>
    <w:rsid w:val="00763A57"/>
    <w:rsid w:val="0076688E"/>
    <w:rsid w:val="007720CC"/>
    <w:rsid w:val="0077226B"/>
    <w:rsid w:val="00773DB6"/>
    <w:rsid w:val="0077514A"/>
    <w:rsid w:val="00781279"/>
    <w:rsid w:val="00783AFE"/>
    <w:rsid w:val="007904FF"/>
    <w:rsid w:val="007925EB"/>
    <w:rsid w:val="00796798"/>
    <w:rsid w:val="00797B28"/>
    <w:rsid w:val="007A038A"/>
    <w:rsid w:val="007A1E1B"/>
    <w:rsid w:val="007A23C5"/>
    <w:rsid w:val="007A3D48"/>
    <w:rsid w:val="007A5961"/>
    <w:rsid w:val="007A62AF"/>
    <w:rsid w:val="007A6303"/>
    <w:rsid w:val="007A73B9"/>
    <w:rsid w:val="007B0811"/>
    <w:rsid w:val="007B12CC"/>
    <w:rsid w:val="007B31EB"/>
    <w:rsid w:val="007B425E"/>
    <w:rsid w:val="007C1D53"/>
    <w:rsid w:val="007C22F2"/>
    <w:rsid w:val="007C4FA1"/>
    <w:rsid w:val="007D2F2B"/>
    <w:rsid w:val="007D48A4"/>
    <w:rsid w:val="007D719A"/>
    <w:rsid w:val="007E11AF"/>
    <w:rsid w:val="007E36AC"/>
    <w:rsid w:val="007E4B97"/>
    <w:rsid w:val="007E5353"/>
    <w:rsid w:val="007E55B7"/>
    <w:rsid w:val="007E6392"/>
    <w:rsid w:val="007F42D9"/>
    <w:rsid w:val="007F5799"/>
    <w:rsid w:val="007F5BF8"/>
    <w:rsid w:val="007F7B66"/>
    <w:rsid w:val="00801DE2"/>
    <w:rsid w:val="00802AAD"/>
    <w:rsid w:val="008038C9"/>
    <w:rsid w:val="0080646E"/>
    <w:rsid w:val="00806C2A"/>
    <w:rsid w:val="008077DA"/>
    <w:rsid w:val="008153A1"/>
    <w:rsid w:val="00825BFE"/>
    <w:rsid w:val="00825C8F"/>
    <w:rsid w:val="00826B5E"/>
    <w:rsid w:val="00831380"/>
    <w:rsid w:val="00831843"/>
    <w:rsid w:val="00832D6F"/>
    <w:rsid w:val="008330BB"/>
    <w:rsid w:val="00833CAD"/>
    <w:rsid w:val="008406FC"/>
    <w:rsid w:val="00840AA3"/>
    <w:rsid w:val="008410E6"/>
    <w:rsid w:val="00841318"/>
    <w:rsid w:val="00841E77"/>
    <w:rsid w:val="008421E5"/>
    <w:rsid w:val="00845E45"/>
    <w:rsid w:val="008512E3"/>
    <w:rsid w:val="00851C1E"/>
    <w:rsid w:val="00853166"/>
    <w:rsid w:val="008545A3"/>
    <w:rsid w:val="00856CD9"/>
    <w:rsid w:val="00862F0E"/>
    <w:rsid w:val="00863E6B"/>
    <w:rsid w:val="008655F8"/>
    <w:rsid w:val="00867DAD"/>
    <w:rsid w:val="00867EAE"/>
    <w:rsid w:val="00870A99"/>
    <w:rsid w:val="00871458"/>
    <w:rsid w:val="00872CB6"/>
    <w:rsid w:val="00874F21"/>
    <w:rsid w:val="00882D02"/>
    <w:rsid w:val="00883213"/>
    <w:rsid w:val="00884A1B"/>
    <w:rsid w:val="008923A4"/>
    <w:rsid w:val="008927E0"/>
    <w:rsid w:val="00893556"/>
    <w:rsid w:val="00893B88"/>
    <w:rsid w:val="008953C4"/>
    <w:rsid w:val="008A02F3"/>
    <w:rsid w:val="008A4193"/>
    <w:rsid w:val="008A4440"/>
    <w:rsid w:val="008A58B3"/>
    <w:rsid w:val="008B024E"/>
    <w:rsid w:val="008B14E4"/>
    <w:rsid w:val="008B2C45"/>
    <w:rsid w:val="008B4190"/>
    <w:rsid w:val="008C0361"/>
    <w:rsid w:val="008C2670"/>
    <w:rsid w:val="008C6831"/>
    <w:rsid w:val="008C736D"/>
    <w:rsid w:val="008D30DD"/>
    <w:rsid w:val="008D35B6"/>
    <w:rsid w:val="008D5D5A"/>
    <w:rsid w:val="008D63C9"/>
    <w:rsid w:val="008D77B0"/>
    <w:rsid w:val="008E06A1"/>
    <w:rsid w:val="008E1673"/>
    <w:rsid w:val="008E6D68"/>
    <w:rsid w:val="008F4555"/>
    <w:rsid w:val="00900431"/>
    <w:rsid w:val="00902193"/>
    <w:rsid w:val="0090328C"/>
    <w:rsid w:val="00910123"/>
    <w:rsid w:val="00912961"/>
    <w:rsid w:val="00913386"/>
    <w:rsid w:val="00913F71"/>
    <w:rsid w:val="00914563"/>
    <w:rsid w:val="00916D35"/>
    <w:rsid w:val="00921822"/>
    <w:rsid w:val="00921960"/>
    <w:rsid w:val="0092196F"/>
    <w:rsid w:val="00923F6C"/>
    <w:rsid w:val="00925D28"/>
    <w:rsid w:val="00927B48"/>
    <w:rsid w:val="00931166"/>
    <w:rsid w:val="0093340A"/>
    <w:rsid w:val="00933955"/>
    <w:rsid w:val="00935A11"/>
    <w:rsid w:val="00936518"/>
    <w:rsid w:val="00937032"/>
    <w:rsid w:val="00937C98"/>
    <w:rsid w:val="0094258F"/>
    <w:rsid w:val="0094661D"/>
    <w:rsid w:val="0095122D"/>
    <w:rsid w:val="00952194"/>
    <w:rsid w:val="00955087"/>
    <w:rsid w:val="0095730F"/>
    <w:rsid w:val="0096060D"/>
    <w:rsid w:val="00961C95"/>
    <w:rsid w:val="00962A5F"/>
    <w:rsid w:val="00963B0B"/>
    <w:rsid w:val="0096467C"/>
    <w:rsid w:val="00965969"/>
    <w:rsid w:val="00965DB7"/>
    <w:rsid w:val="009667C2"/>
    <w:rsid w:val="00967F39"/>
    <w:rsid w:val="00970038"/>
    <w:rsid w:val="00971D84"/>
    <w:rsid w:val="0097237D"/>
    <w:rsid w:val="009740A2"/>
    <w:rsid w:val="00976F17"/>
    <w:rsid w:val="00981972"/>
    <w:rsid w:val="0098245F"/>
    <w:rsid w:val="009855CA"/>
    <w:rsid w:val="00990F07"/>
    <w:rsid w:val="009932D0"/>
    <w:rsid w:val="00996DA3"/>
    <w:rsid w:val="009B0A61"/>
    <w:rsid w:val="009B109A"/>
    <w:rsid w:val="009B4531"/>
    <w:rsid w:val="009B5F75"/>
    <w:rsid w:val="009B6519"/>
    <w:rsid w:val="009B6C65"/>
    <w:rsid w:val="009B7836"/>
    <w:rsid w:val="009C164A"/>
    <w:rsid w:val="009D0A18"/>
    <w:rsid w:val="009D17E4"/>
    <w:rsid w:val="009D5A93"/>
    <w:rsid w:val="009D5BA5"/>
    <w:rsid w:val="009D64E2"/>
    <w:rsid w:val="009D6BF5"/>
    <w:rsid w:val="009E0276"/>
    <w:rsid w:val="009E25B6"/>
    <w:rsid w:val="009E2A29"/>
    <w:rsid w:val="009E5F33"/>
    <w:rsid w:val="009E6791"/>
    <w:rsid w:val="009E7510"/>
    <w:rsid w:val="009F02C1"/>
    <w:rsid w:val="009F0BD2"/>
    <w:rsid w:val="009F1452"/>
    <w:rsid w:val="009F1BF8"/>
    <w:rsid w:val="009F1C9C"/>
    <w:rsid w:val="009F250C"/>
    <w:rsid w:val="009F275E"/>
    <w:rsid w:val="009F434C"/>
    <w:rsid w:val="009F7D34"/>
    <w:rsid w:val="00A00E7B"/>
    <w:rsid w:val="00A02520"/>
    <w:rsid w:val="00A02BAA"/>
    <w:rsid w:val="00A107BD"/>
    <w:rsid w:val="00A10D56"/>
    <w:rsid w:val="00A1218E"/>
    <w:rsid w:val="00A12C39"/>
    <w:rsid w:val="00A13A13"/>
    <w:rsid w:val="00A15326"/>
    <w:rsid w:val="00A16CEC"/>
    <w:rsid w:val="00A26C91"/>
    <w:rsid w:val="00A26E9C"/>
    <w:rsid w:val="00A318E2"/>
    <w:rsid w:val="00A33F58"/>
    <w:rsid w:val="00A36055"/>
    <w:rsid w:val="00A40BC8"/>
    <w:rsid w:val="00A4369D"/>
    <w:rsid w:val="00A43B19"/>
    <w:rsid w:val="00A4472E"/>
    <w:rsid w:val="00A46D31"/>
    <w:rsid w:val="00A47EA4"/>
    <w:rsid w:val="00A503E5"/>
    <w:rsid w:val="00A509FD"/>
    <w:rsid w:val="00A53F03"/>
    <w:rsid w:val="00A53FF0"/>
    <w:rsid w:val="00A54456"/>
    <w:rsid w:val="00A5471E"/>
    <w:rsid w:val="00A551D7"/>
    <w:rsid w:val="00A55B27"/>
    <w:rsid w:val="00A55BDA"/>
    <w:rsid w:val="00A60C43"/>
    <w:rsid w:val="00A64596"/>
    <w:rsid w:val="00A67BE2"/>
    <w:rsid w:val="00A74820"/>
    <w:rsid w:val="00A76E41"/>
    <w:rsid w:val="00A776BC"/>
    <w:rsid w:val="00A8105F"/>
    <w:rsid w:val="00A81465"/>
    <w:rsid w:val="00A833A7"/>
    <w:rsid w:val="00A86AB0"/>
    <w:rsid w:val="00A87262"/>
    <w:rsid w:val="00A90F79"/>
    <w:rsid w:val="00A93929"/>
    <w:rsid w:val="00A9509B"/>
    <w:rsid w:val="00A963E4"/>
    <w:rsid w:val="00A97C90"/>
    <w:rsid w:val="00AA15A6"/>
    <w:rsid w:val="00AA182F"/>
    <w:rsid w:val="00AA3F58"/>
    <w:rsid w:val="00AA4870"/>
    <w:rsid w:val="00AA6B5D"/>
    <w:rsid w:val="00AB1D83"/>
    <w:rsid w:val="00AB5668"/>
    <w:rsid w:val="00AB587E"/>
    <w:rsid w:val="00AB6697"/>
    <w:rsid w:val="00AC0CA3"/>
    <w:rsid w:val="00AC24D8"/>
    <w:rsid w:val="00AC2F0E"/>
    <w:rsid w:val="00AC6B22"/>
    <w:rsid w:val="00AD13AD"/>
    <w:rsid w:val="00AE08D3"/>
    <w:rsid w:val="00AE225B"/>
    <w:rsid w:val="00AE46A4"/>
    <w:rsid w:val="00AE535D"/>
    <w:rsid w:val="00AE69CE"/>
    <w:rsid w:val="00AF08E9"/>
    <w:rsid w:val="00AF0B26"/>
    <w:rsid w:val="00AF2165"/>
    <w:rsid w:val="00AF6826"/>
    <w:rsid w:val="00B00877"/>
    <w:rsid w:val="00B02697"/>
    <w:rsid w:val="00B0719C"/>
    <w:rsid w:val="00B14CC8"/>
    <w:rsid w:val="00B17240"/>
    <w:rsid w:val="00B234C1"/>
    <w:rsid w:val="00B248CE"/>
    <w:rsid w:val="00B24E37"/>
    <w:rsid w:val="00B25020"/>
    <w:rsid w:val="00B256C8"/>
    <w:rsid w:val="00B256F6"/>
    <w:rsid w:val="00B25EB4"/>
    <w:rsid w:val="00B272EE"/>
    <w:rsid w:val="00B302A1"/>
    <w:rsid w:val="00B31FCC"/>
    <w:rsid w:val="00B3557A"/>
    <w:rsid w:val="00B3740D"/>
    <w:rsid w:val="00B3776F"/>
    <w:rsid w:val="00B418AB"/>
    <w:rsid w:val="00B41ACE"/>
    <w:rsid w:val="00B4291F"/>
    <w:rsid w:val="00B42B7C"/>
    <w:rsid w:val="00B42F55"/>
    <w:rsid w:val="00B46CA3"/>
    <w:rsid w:val="00B5591E"/>
    <w:rsid w:val="00B565C7"/>
    <w:rsid w:val="00B56F47"/>
    <w:rsid w:val="00B608C5"/>
    <w:rsid w:val="00B61CEF"/>
    <w:rsid w:val="00B657D7"/>
    <w:rsid w:val="00B659E9"/>
    <w:rsid w:val="00B677D1"/>
    <w:rsid w:val="00B7130A"/>
    <w:rsid w:val="00B71CA8"/>
    <w:rsid w:val="00B753C1"/>
    <w:rsid w:val="00B82CCF"/>
    <w:rsid w:val="00B83052"/>
    <w:rsid w:val="00B8677C"/>
    <w:rsid w:val="00B90FC3"/>
    <w:rsid w:val="00B92387"/>
    <w:rsid w:val="00B9395A"/>
    <w:rsid w:val="00B93A38"/>
    <w:rsid w:val="00B95280"/>
    <w:rsid w:val="00B9638C"/>
    <w:rsid w:val="00BA5133"/>
    <w:rsid w:val="00BA5885"/>
    <w:rsid w:val="00BA59F6"/>
    <w:rsid w:val="00BA6774"/>
    <w:rsid w:val="00BB0763"/>
    <w:rsid w:val="00BB0E01"/>
    <w:rsid w:val="00BB1CB2"/>
    <w:rsid w:val="00BB21F1"/>
    <w:rsid w:val="00BB4264"/>
    <w:rsid w:val="00BB4B2D"/>
    <w:rsid w:val="00BB6099"/>
    <w:rsid w:val="00BB6BDE"/>
    <w:rsid w:val="00BB702A"/>
    <w:rsid w:val="00BC0FBE"/>
    <w:rsid w:val="00BC1D98"/>
    <w:rsid w:val="00BC3F50"/>
    <w:rsid w:val="00BD324F"/>
    <w:rsid w:val="00BD3603"/>
    <w:rsid w:val="00BD702A"/>
    <w:rsid w:val="00BE0161"/>
    <w:rsid w:val="00BE1766"/>
    <w:rsid w:val="00BE3275"/>
    <w:rsid w:val="00BE36C6"/>
    <w:rsid w:val="00BE5F84"/>
    <w:rsid w:val="00BF0DFB"/>
    <w:rsid w:val="00BF14CF"/>
    <w:rsid w:val="00BF48F2"/>
    <w:rsid w:val="00BF648F"/>
    <w:rsid w:val="00C00A12"/>
    <w:rsid w:val="00C01354"/>
    <w:rsid w:val="00C02E08"/>
    <w:rsid w:val="00C04FEC"/>
    <w:rsid w:val="00C05052"/>
    <w:rsid w:val="00C0544C"/>
    <w:rsid w:val="00C064AA"/>
    <w:rsid w:val="00C10643"/>
    <w:rsid w:val="00C15609"/>
    <w:rsid w:val="00C16EAB"/>
    <w:rsid w:val="00C23757"/>
    <w:rsid w:val="00C2432E"/>
    <w:rsid w:val="00C25332"/>
    <w:rsid w:val="00C25933"/>
    <w:rsid w:val="00C27C2B"/>
    <w:rsid w:val="00C32F04"/>
    <w:rsid w:val="00C3318C"/>
    <w:rsid w:val="00C34F6D"/>
    <w:rsid w:val="00C3720A"/>
    <w:rsid w:val="00C41DCA"/>
    <w:rsid w:val="00C45720"/>
    <w:rsid w:val="00C51934"/>
    <w:rsid w:val="00C549B2"/>
    <w:rsid w:val="00C55715"/>
    <w:rsid w:val="00C56FA8"/>
    <w:rsid w:val="00C61C00"/>
    <w:rsid w:val="00C62802"/>
    <w:rsid w:val="00C6346F"/>
    <w:rsid w:val="00C73DB2"/>
    <w:rsid w:val="00C75067"/>
    <w:rsid w:val="00C802CF"/>
    <w:rsid w:val="00C830BD"/>
    <w:rsid w:val="00C84E19"/>
    <w:rsid w:val="00C85194"/>
    <w:rsid w:val="00C95F53"/>
    <w:rsid w:val="00C97F3E"/>
    <w:rsid w:val="00CA00FB"/>
    <w:rsid w:val="00CA0715"/>
    <w:rsid w:val="00CA11BC"/>
    <w:rsid w:val="00CA1CD2"/>
    <w:rsid w:val="00CA39D0"/>
    <w:rsid w:val="00CA48E6"/>
    <w:rsid w:val="00CA4E7E"/>
    <w:rsid w:val="00CA67C6"/>
    <w:rsid w:val="00CB14B8"/>
    <w:rsid w:val="00CB262F"/>
    <w:rsid w:val="00CB39DC"/>
    <w:rsid w:val="00CB4939"/>
    <w:rsid w:val="00CB5977"/>
    <w:rsid w:val="00CB5E07"/>
    <w:rsid w:val="00CB5FDB"/>
    <w:rsid w:val="00CC36CA"/>
    <w:rsid w:val="00CC6EF3"/>
    <w:rsid w:val="00CC7A2E"/>
    <w:rsid w:val="00CC7AEB"/>
    <w:rsid w:val="00CD27CB"/>
    <w:rsid w:val="00CD478B"/>
    <w:rsid w:val="00CD6BE5"/>
    <w:rsid w:val="00CD77F5"/>
    <w:rsid w:val="00CD7CD7"/>
    <w:rsid w:val="00CD7DD7"/>
    <w:rsid w:val="00CE0245"/>
    <w:rsid w:val="00CE47BF"/>
    <w:rsid w:val="00CE76D0"/>
    <w:rsid w:val="00CF43D3"/>
    <w:rsid w:val="00CF4997"/>
    <w:rsid w:val="00CF7256"/>
    <w:rsid w:val="00CF75BB"/>
    <w:rsid w:val="00D03579"/>
    <w:rsid w:val="00D04FCE"/>
    <w:rsid w:val="00D11D9E"/>
    <w:rsid w:val="00D13247"/>
    <w:rsid w:val="00D1341B"/>
    <w:rsid w:val="00D13E31"/>
    <w:rsid w:val="00D16614"/>
    <w:rsid w:val="00D2127E"/>
    <w:rsid w:val="00D228D1"/>
    <w:rsid w:val="00D22DFA"/>
    <w:rsid w:val="00D24B8C"/>
    <w:rsid w:val="00D26AA8"/>
    <w:rsid w:val="00D27019"/>
    <w:rsid w:val="00D315DA"/>
    <w:rsid w:val="00D3317F"/>
    <w:rsid w:val="00D360BE"/>
    <w:rsid w:val="00D40BC5"/>
    <w:rsid w:val="00D40F06"/>
    <w:rsid w:val="00D44057"/>
    <w:rsid w:val="00D44B67"/>
    <w:rsid w:val="00D44E81"/>
    <w:rsid w:val="00D4599E"/>
    <w:rsid w:val="00D47576"/>
    <w:rsid w:val="00D479E8"/>
    <w:rsid w:val="00D542F2"/>
    <w:rsid w:val="00D5493C"/>
    <w:rsid w:val="00D56F9B"/>
    <w:rsid w:val="00D61162"/>
    <w:rsid w:val="00D61BD1"/>
    <w:rsid w:val="00D631BE"/>
    <w:rsid w:val="00D635C4"/>
    <w:rsid w:val="00D65D0C"/>
    <w:rsid w:val="00D66AE2"/>
    <w:rsid w:val="00D66B0F"/>
    <w:rsid w:val="00D671EA"/>
    <w:rsid w:val="00D72C3B"/>
    <w:rsid w:val="00D74180"/>
    <w:rsid w:val="00D744B4"/>
    <w:rsid w:val="00D7549F"/>
    <w:rsid w:val="00D77416"/>
    <w:rsid w:val="00D774D4"/>
    <w:rsid w:val="00D7757D"/>
    <w:rsid w:val="00D8023F"/>
    <w:rsid w:val="00D80950"/>
    <w:rsid w:val="00D8348B"/>
    <w:rsid w:val="00D868F2"/>
    <w:rsid w:val="00D86FDE"/>
    <w:rsid w:val="00D8757C"/>
    <w:rsid w:val="00D908D3"/>
    <w:rsid w:val="00D90C19"/>
    <w:rsid w:val="00D91C36"/>
    <w:rsid w:val="00D94AE6"/>
    <w:rsid w:val="00D94BB9"/>
    <w:rsid w:val="00D95048"/>
    <w:rsid w:val="00DA1AE4"/>
    <w:rsid w:val="00DA283C"/>
    <w:rsid w:val="00DA437B"/>
    <w:rsid w:val="00DA78D7"/>
    <w:rsid w:val="00DB0831"/>
    <w:rsid w:val="00DB1859"/>
    <w:rsid w:val="00DB1D37"/>
    <w:rsid w:val="00DB3A56"/>
    <w:rsid w:val="00DB6FE7"/>
    <w:rsid w:val="00DC1D00"/>
    <w:rsid w:val="00DC2A9F"/>
    <w:rsid w:val="00DC552D"/>
    <w:rsid w:val="00DC7B47"/>
    <w:rsid w:val="00DD1A5C"/>
    <w:rsid w:val="00DD1F41"/>
    <w:rsid w:val="00DD34E5"/>
    <w:rsid w:val="00DD3639"/>
    <w:rsid w:val="00DD4360"/>
    <w:rsid w:val="00DD6DD7"/>
    <w:rsid w:val="00DD6FD2"/>
    <w:rsid w:val="00DE1373"/>
    <w:rsid w:val="00DE21B5"/>
    <w:rsid w:val="00DE2EF0"/>
    <w:rsid w:val="00DE5A74"/>
    <w:rsid w:val="00DF0EBB"/>
    <w:rsid w:val="00DF22C3"/>
    <w:rsid w:val="00DF298C"/>
    <w:rsid w:val="00DF40A0"/>
    <w:rsid w:val="00DF4135"/>
    <w:rsid w:val="00DF5A45"/>
    <w:rsid w:val="00DF6369"/>
    <w:rsid w:val="00DF693A"/>
    <w:rsid w:val="00E0259E"/>
    <w:rsid w:val="00E0287C"/>
    <w:rsid w:val="00E0318A"/>
    <w:rsid w:val="00E04CC3"/>
    <w:rsid w:val="00E1000C"/>
    <w:rsid w:val="00E10BFF"/>
    <w:rsid w:val="00E1186D"/>
    <w:rsid w:val="00E1484A"/>
    <w:rsid w:val="00E152C9"/>
    <w:rsid w:val="00E2020D"/>
    <w:rsid w:val="00E21A06"/>
    <w:rsid w:val="00E2576F"/>
    <w:rsid w:val="00E30197"/>
    <w:rsid w:val="00E30704"/>
    <w:rsid w:val="00E30B21"/>
    <w:rsid w:val="00E344E1"/>
    <w:rsid w:val="00E34784"/>
    <w:rsid w:val="00E42B97"/>
    <w:rsid w:val="00E46AF8"/>
    <w:rsid w:val="00E5409A"/>
    <w:rsid w:val="00E5458F"/>
    <w:rsid w:val="00E61333"/>
    <w:rsid w:val="00E6159D"/>
    <w:rsid w:val="00E62805"/>
    <w:rsid w:val="00E67AB7"/>
    <w:rsid w:val="00E743FC"/>
    <w:rsid w:val="00E760DC"/>
    <w:rsid w:val="00E772BA"/>
    <w:rsid w:val="00E80BCE"/>
    <w:rsid w:val="00E80EFF"/>
    <w:rsid w:val="00E81CF1"/>
    <w:rsid w:val="00E82532"/>
    <w:rsid w:val="00E855FA"/>
    <w:rsid w:val="00E85BD7"/>
    <w:rsid w:val="00E85F4F"/>
    <w:rsid w:val="00E87612"/>
    <w:rsid w:val="00E905AE"/>
    <w:rsid w:val="00E92ACD"/>
    <w:rsid w:val="00E974A2"/>
    <w:rsid w:val="00EA0415"/>
    <w:rsid w:val="00EA5AB5"/>
    <w:rsid w:val="00EA5D6A"/>
    <w:rsid w:val="00EA6950"/>
    <w:rsid w:val="00EB57E9"/>
    <w:rsid w:val="00EC05E9"/>
    <w:rsid w:val="00EC2A61"/>
    <w:rsid w:val="00EC2D7F"/>
    <w:rsid w:val="00EC614F"/>
    <w:rsid w:val="00EC6556"/>
    <w:rsid w:val="00ED1FD7"/>
    <w:rsid w:val="00ED3275"/>
    <w:rsid w:val="00ED3A25"/>
    <w:rsid w:val="00ED5234"/>
    <w:rsid w:val="00ED5C41"/>
    <w:rsid w:val="00EE1152"/>
    <w:rsid w:val="00EE2474"/>
    <w:rsid w:val="00EF28C5"/>
    <w:rsid w:val="00EF324E"/>
    <w:rsid w:val="00EF349C"/>
    <w:rsid w:val="00EF39B2"/>
    <w:rsid w:val="00EF39ED"/>
    <w:rsid w:val="00F021CF"/>
    <w:rsid w:val="00F05B0F"/>
    <w:rsid w:val="00F12BB0"/>
    <w:rsid w:val="00F13DE3"/>
    <w:rsid w:val="00F13E79"/>
    <w:rsid w:val="00F154E4"/>
    <w:rsid w:val="00F16AF2"/>
    <w:rsid w:val="00F17BAE"/>
    <w:rsid w:val="00F2001D"/>
    <w:rsid w:val="00F20029"/>
    <w:rsid w:val="00F2201F"/>
    <w:rsid w:val="00F23852"/>
    <w:rsid w:val="00F24D86"/>
    <w:rsid w:val="00F318B8"/>
    <w:rsid w:val="00F323B7"/>
    <w:rsid w:val="00F33B15"/>
    <w:rsid w:val="00F341B8"/>
    <w:rsid w:val="00F3670F"/>
    <w:rsid w:val="00F417A3"/>
    <w:rsid w:val="00F42B7E"/>
    <w:rsid w:val="00F42C82"/>
    <w:rsid w:val="00F42EDB"/>
    <w:rsid w:val="00F44275"/>
    <w:rsid w:val="00F46C0C"/>
    <w:rsid w:val="00F5064E"/>
    <w:rsid w:val="00F55B72"/>
    <w:rsid w:val="00F6056C"/>
    <w:rsid w:val="00F60CB5"/>
    <w:rsid w:val="00F61581"/>
    <w:rsid w:val="00F62E7F"/>
    <w:rsid w:val="00F63BB9"/>
    <w:rsid w:val="00F658B9"/>
    <w:rsid w:val="00F67DBB"/>
    <w:rsid w:val="00F700AA"/>
    <w:rsid w:val="00F718B0"/>
    <w:rsid w:val="00F73A71"/>
    <w:rsid w:val="00F77D48"/>
    <w:rsid w:val="00F8293E"/>
    <w:rsid w:val="00F82BD4"/>
    <w:rsid w:val="00F84C94"/>
    <w:rsid w:val="00F90BB6"/>
    <w:rsid w:val="00F915D1"/>
    <w:rsid w:val="00F91939"/>
    <w:rsid w:val="00F93E86"/>
    <w:rsid w:val="00F9576D"/>
    <w:rsid w:val="00F95F0C"/>
    <w:rsid w:val="00F9732F"/>
    <w:rsid w:val="00FA0E7F"/>
    <w:rsid w:val="00FA3548"/>
    <w:rsid w:val="00FA4B38"/>
    <w:rsid w:val="00FA50EB"/>
    <w:rsid w:val="00FA6DC0"/>
    <w:rsid w:val="00FA7EB1"/>
    <w:rsid w:val="00FB1CEC"/>
    <w:rsid w:val="00FB419B"/>
    <w:rsid w:val="00FB46DC"/>
    <w:rsid w:val="00FB6F9F"/>
    <w:rsid w:val="00FB7A48"/>
    <w:rsid w:val="00FC12FE"/>
    <w:rsid w:val="00FC1489"/>
    <w:rsid w:val="00FC3441"/>
    <w:rsid w:val="00FD1ED3"/>
    <w:rsid w:val="00FD6C28"/>
    <w:rsid w:val="00FE1287"/>
    <w:rsid w:val="00FE310B"/>
    <w:rsid w:val="00FE39B9"/>
    <w:rsid w:val="00FE6AD7"/>
    <w:rsid w:val="00FF1BA9"/>
    <w:rsid w:val="00FF5290"/>
    <w:rsid w:val="00FF60DC"/>
    <w:rsid w:val="01135DEB"/>
    <w:rsid w:val="019C3A88"/>
    <w:rsid w:val="01B11C8E"/>
    <w:rsid w:val="01E5335C"/>
    <w:rsid w:val="02287D7E"/>
    <w:rsid w:val="02360076"/>
    <w:rsid w:val="023F6719"/>
    <w:rsid w:val="029E4F77"/>
    <w:rsid w:val="02C86FF4"/>
    <w:rsid w:val="030E6553"/>
    <w:rsid w:val="03175C23"/>
    <w:rsid w:val="03960557"/>
    <w:rsid w:val="03B54D80"/>
    <w:rsid w:val="03C84930"/>
    <w:rsid w:val="03D02BEF"/>
    <w:rsid w:val="03DF7E09"/>
    <w:rsid w:val="03E67E90"/>
    <w:rsid w:val="043613A4"/>
    <w:rsid w:val="04615143"/>
    <w:rsid w:val="04754202"/>
    <w:rsid w:val="048320BB"/>
    <w:rsid w:val="04B563C2"/>
    <w:rsid w:val="04BE5096"/>
    <w:rsid w:val="051941F9"/>
    <w:rsid w:val="05531A54"/>
    <w:rsid w:val="057A17D3"/>
    <w:rsid w:val="058A12BB"/>
    <w:rsid w:val="05CB7B2D"/>
    <w:rsid w:val="05E53AA2"/>
    <w:rsid w:val="05F92C68"/>
    <w:rsid w:val="0620235A"/>
    <w:rsid w:val="064C2BAC"/>
    <w:rsid w:val="06571B7A"/>
    <w:rsid w:val="069421A0"/>
    <w:rsid w:val="06B10ACD"/>
    <w:rsid w:val="06C25923"/>
    <w:rsid w:val="06DC0674"/>
    <w:rsid w:val="071D11C9"/>
    <w:rsid w:val="07566FB0"/>
    <w:rsid w:val="077111CE"/>
    <w:rsid w:val="0772575A"/>
    <w:rsid w:val="07750133"/>
    <w:rsid w:val="07DA3A8F"/>
    <w:rsid w:val="08316975"/>
    <w:rsid w:val="089D7C92"/>
    <w:rsid w:val="08BE593D"/>
    <w:rsid w:val="09005B88"/>
    <w:rsid w:val="09483362"/>
    <w:rsid w:val="09572A1B"/>
    <w:rsid w:val="095D1F90"/>
    <w:rsid w:val="098A5E21"/>
    <w:rsid w:val="09A35DE6"/>
    <w:rsid w:val="09AC58CD"/>
    <w:rsid w:val="09C92DD3"/>
    <w:rsid w:val="09CF6E4B"/>
    <w:rsid w:val="09ED78B2"/>
    <w:rsid w:val="0A1A5817"/>
    <w:rsid w:val="0A235626"/>
    <w:rsid w:val="0A656CBF"/>
    <w:rsid w:val="0AB4609E"/>
    <w:rsid w:val="0ADE415D"/>
    <w:rsid w:val="0B015EF9"/>
    <w:rsid w:val="0B0A7965"/>
    <w:rsid w:val="0B394622"/>
    <w:rsid w:val="0B7A2457"/>
    <w:rsid w:val="0B85577D"/>
    <w:rsid w:val="0BA6013E"/>
    <w:rsid w:val="0BD554C2"/>
    <w:rsid w:val="0BDE4924"/>
    <w:rsid w:val="0C251D7A"/>
    <w:rsid w:val="0C63073D"/>
    <w:rsid w:val="0C7318E1"/>
    <w:rsid w:val="0C7E0A69"/>
    <w:rsid w:val="0CAA4A6C"/>
    <w:rsid w:val="0CCF6888"/>
    <w:rsid w:val="0D084168"/>
    <w:rsid w:val="0D0C188A"/>
    <w:rsid w:val="0D1C24FF"/>
    <w:rsid w:val="0D652227"/>
    <w:rsid w:val="0D771F8E"/>
    <w:rsid w:val="0D775429"/>
    <w:rsid w:val="0DBC3F5A"/>
    <w:rsid w:val="0DCF706C"/>
    <w:rsid w:val="0DD71E98"/>
    <w:rsid w:val="0DDD4350"/>
    <w:rsid w:val="0E43752E"/>
    <w:rsid w:val="0E646992"/>
    <w:rsid w:val="0F121EF0"/>
    <w:rsid w:val="0F610312"/>
    <w:rsid w:val="0F8157E9"/>
    <w:rsid w:val="0FEE2C74"/>
    <w:rsid w:val="0FF215C1"/>
    <w:rsid w:val="101038B6"/>
    <w:rsid w:val="10196798"/>
    <w:rsid w:val="10464D7D"/>
    <w:rsid w:val="10D502CD"/>
    <w:rsid w:val="10F05C07"/>
    <w:rsid w:val="111B2E8C"/>
    <w:rsid w:val="11304CEB"/>
    <w:rsid w:val="118916FB"/>
    <w:rsid w:val="11AF4DCB"/>
    <w:rsid w:val="11C83F57"/>
    <w:rsid w:val="11CB238C"/>
    <w:rsid w:val="11DF1890"/>
    <w:rsid w:val="11EC712D"/>
    <w:rsid w:val="12157C01"/>
    <w:rsid w:val="126A6425"/>
    <w:rsid w:val="127E6D86"/>
    <w:rsid w:val="12955111"/>
    <w:rsid w:val="12AA08CD"/>
    <w:rsid w:val="12B427A8"/>
    <w:rsid w:val="12C92BCE"/>
    <w:rsid w:val="12CC6E6D"/>
    <w:rsid w:val="12D3320E"/>
    <w:rsid w:val="12D56BE7"/>
    <w:rsid w:val="12E864B6"/>
    <w:rsid w:val="13806E42"/>
    <w:rsid w:val="13B71FCC"/>
    <w:rsid w:val="13FA1031"/>
    <w:rsid w:val="140E7482"/>
    <w:rsid w:val="1416095E"/>
    <w:rsid w:val="1434597C"/>
    <w:rsid w:val="1440520B"/>
    <w:rsid w:val="14654E7D"/>
    <w:rsid w:val="146A48A9"/>
    <w:rsid w:val="14737EE6"/>
    <w:rsid w:val="149063EC"/>
    <w:rsid w:val="14B82C0B"/>
    <w:rsid w:val="14BA385D"/>
    <w:rsid w:val="14CD195A"/>
    <w:rsid w:val="14E8745D"/>
    <w:rsid w:val="151A0368"/>
    <w:rsid w:val="15953736"/>
    <w:rsid w:val="15BB68E8"/>
    <w:rsid w:val="16701EC2"/>
    <w:rsid w:val="16BA6610"/>
    <w:rsid w:val="171071EA"/>
    <w:rsid w:val="17460154"/>
    <w:rsid w:val="174F62D6"/>
    <w:rsid w:val="179F4D61"/>
    <w:rsid w:val="17D15E69"/>
    <w:rsid w:val="17EE77F0"/>
    <w:rsid w:val="18083F6F"/>
    <w:rsid w:val="180F7034"/>
    <w:rsid w:val="183A0A1F"/>
    <w:rsid w:val="187A1D9E"/>
    <w:rsid w:val="18C148AD"/>
    <w:rsid w:val="18D56A9E"/>
    <w:rsid w:val="19006747"/>
    <w:rsid w:val="190525BE"/>
    <w:rsid w:val="194D273F"/>
    <w:rsid w:val="198B7F92"/>
    <w:rsid w:val="198C1D89"/>
    <w:rsid w:val="19940D9B"/>
    <w:rsid w:val="19C23937"/>
    <w:rsid w:val="1A1A76C8"/>
    <w:rsid w:val="1A342318"/>
    <w:rsid w:val="1A7A221D"/>
    <w:rsid w:val="1A97727D"/>
    <w:rsid w:val="1A9E3268"/>
    <w:rsid w:val="1B2225BA"/>
    <w:rsid w:val="1B2966AB"/>
    <w:rsid w:val="1B547E0D"/>
    <w:rsid w:val="1B74013C"/>
    <w:rsid w:val="1BCA1848"/>
    <w:rsid w:val="1BF87C9F"/>
    <w:rsid w:val="1C04544D"/>
    <w:rsid w:val="1C1746A9"/>
    <w:rsid w:val="1C613E87"/>
    <w:rsid w:val="1C762227"/>
    <w:rsid w:val="1C7F4849"/>
    <w:rsid w:val="1CC95D32"/>
    <w:rsid w:val="1CDC3027"/>
    <w:rsid w:val="1CEB1476"/>
    <w:rsid w:val="1CFA34AD"/>
    <w:rsid w:val="1D3A15C3"/>
    <w:rsid w:val="1D795F5E"/>
    <w:rsid w:val="1D9F120E"/>
    <w:rsid w:val="1DEC2DE0"/>
    <w:rsid w:val="1DF75D0F"/>
    <w:rsid w:val="1E0D2BED"/>
    <w:rsid w:val="1E301540"/>
    <w:rsid w:val="1E316EA9"/>
    <w:rsid w:val="1E591AD6"/>
    <w:rsid w:val="1E7B37A5"/>
    <w:rsid w:val="1EA44D1C"/>
    <w:rsid w:val="1EA85258"/>
    <w:rsid w:val="1EB0258C"/>
    <w:rsid w:val="1ECD2D49"/>
    <w:rsid w:val="1F14499E"/>
    <w:rsid w:val="1F322663"/>
    <w:rsid w:val="1F5B26C7"/>
    <w:rsid w:val="1F5C044F"/>
    <w:rsid w:val="1FF450C0"/>
    <w:rsid w:val="20091275"/>
    <w:rsid w:val="200D4D8C"/>
    <w:rsid w:val="20254504"/>
    <w:rsid w:val="202C7165"/>
    <w:rsid w:val="203A4DF7"/>
    <w:rsid w:val="20706868"/>
    <w:rsid w:val="20793160"/>
    <w:rsid w:val="209628F5"/>
    <w:rsid w:val="21262F55"/>
    <w:rsid w:val="21430A11"/>
    <w:rsid w:val="215A4BDB"/>
    <w:rsid w:val="21865431"/>
    <w:rsid w:val="21962D82"/>
    <w:rsid w:val="219D221A"/>
    <w:rsid w:val="21A947A1"/>
    <w:rsid w:val="21AB33D9"/>
    <w:rsid w:val="2222535E"/>
    <w:rsid w:val="223A41F0"/>
    <w:rsid w:val="223E0150"/>
    <w:rsid w:val="223F155A"/>
    <w:rsid w:val="224109E7"/>
    <w:rsid w:val="224F2695"/>
    <w:rsid w:val="225D2B31"/>
    <w:rsid w:val="22A56462"/>
    <w:rsid w:val="22CA56D0"/>
    <w:rsid w:val="22EB689E"/>
    <w:rsid w:val="230639D3"/>
    <w:rsid w:val="233B45A4"/>
    <w:rsid w:val="235E2371"/>
    <w:rsid w:val="23982CDD"/>
    <w:rsid w:val="23AC7053"/>
    <w:rsid w:val="23C718BE"/>
    <w:rsid w:val="23CB776C"/>
    <w:rsid w:val="23EF1AC2"/>
    <w:rsid w:val="24196CEF"/>
    <w:rsid w:val="24260360"/>
    <w:rsid w:val="248D4CED"/>
    <w:rsid w:val="248F38ED"/>
    <w:rsid w:val="249C2E00"/>
    <w:rsid w:val="24B147FA"/>
    <w:rsid w:val="24F5430E"/>
    <w:rsid w:val="250D1CFD"/>
    <w:rsid w:val="251F5A1E"/>
    <w:rsid w:val="265D3EC9"/>
    <w:rsid w:val="26A378AA"/>
    <w:rsid w:val="274160AD"/>
    <w:rsid w:val="27E454D2"/>
    <w:rsid w:val="27F62AEE"/>
    <w:rsid w:val="280D3675"/>
    <w:rsid w:val="282F3701"/>
    <w:rsid w:val="283223CC"/>
    <w:rsid w:val="2866365B"/>
    <w:rsid w:val="2880036F"/>
    <w:rsid w:val="28E50C7F"/>
    <w:rsid w:val="28EB2659"/>
    <w:rsid w:val="28EC345C"/>
    <w:rsid w:val="28F007D0"/>
    <w:rsid w:val="28F85F6F"/>
    <w:rsid w:val="29202FD3"/>
    <w:rsid w:val="293E14AA"/>
    <w:rsid w:val="29AB2B57"/>
    <w:rsid w:val="29B46C72"/>
    <w:rsid w:val="29BF0240"/>
    <w:rsid w:val="29F4796E"/>
    <w:rsid w:val="2A120083"/>
    <w:rsid w:val="2A320C48"/>
    <w:rsid w:val="2A44220C"/>
    <w:rsid w:val="2A4A52B3"/>
    <w:rsid w:val="2A593E27"/>
    <w:rsid w:val="2A670080"/>
    <w:rsid w:val="2A936DDC"/>
    <w:rsid w:val="2AB14810"/>
    <w:rsid w:val="2AD3072D"/>
    <w:rsid w:val="2B6C7C6C"/>
    <w:rsid w:val="2BC55589"/>
    <w:rsid w:val="2BCE4A36"/>
    <w:rsid w:val="2BD80B9A"/>
    <w:rsid w:val="2BDD6474"/>
    <w:rsid w:val="2C0174B2"/>
    <w:rsid w:val="2C0B54C5"/>
    <w:rsid w:val="2C292017"/>
    <w:rsid w:val="2C4D6330"/>
    <w:rsid w:val="2C644479"/>
    <w:rsid w:val="2CAC4BA2"/>
    <w:rsid w:val="2CB35C78"/>
    <w:rsid w:val="2CE37D20"/>
    <w:rsid w:val="2CF23FA9"/>
    <w:rsid w:val="2CF40890"/>
    <w:rsid w:val="2D1719A4"/>
    <w:rsid w:val="2D772C06"/>
    <w:rsid w:val="2DC846E5"/>
    <w:rsid w:val="2DDE509E"/>
    <w:rsid w:val="2DF638A3"/>
    <w:rsid w:val="2E4100AD"/>
    <w:rsid w:val="2E476330"/>
    <w:rsid w:val="2E605BAF"/>
    <w:rsid w:val="2E753607"/>
    <w:rsid w:val="2F041D00"/>
    <w:rsid w:val="2F204A26"/>
    <w:rsid w:val="2F3045A4"/>
    <w:rsid w:val="2F567AA0"/>
    <w:rsid w:val="2F611376"/>
    <w:rsid w:val="2F7A400E"/>
    <w:rsid w:val="301645BB"/>
    <w:rsid w:val="30302844"/>
    <w:rsid w:val="304F3EF1"/>
    <w:rsid w:val="30604E4D"/>
    <w:rsid w:val="30654C8A"/>
    <w:rsid w:val="309F5392"/>
    <w:rsid w:val="30B4367E"/>
    <w:rsid w:val="30C965CD"/>
    <w:rsid w:val="30D04888"/>
    <w:rsid w:val="30E8690D"/>
    <w:rsid w:val="31452164"/>
    <w:rsid w:val="3161171F"/>
    <w:rsid w:val="319A28B2"/>
    <w:rsid w:val="31CB5004"/>
    <w:rsid w:val="31D16A47"/>
    <w:rsid w:val="323E162E"/>
    <w:rsid w:val="32621022"/>
    <w:rsid w:val="326F3217"/>
    <w:rsid w:val="3276083D"/>
    <w:rsid w:val="327A247B"/>
    <w:rsid w:val="329A3661"/>
    <w:rsid w:val="32B66CB0"/>
    <w:rsid w:val="32D16C5C"/>
    <w:rsid w:val="3360555B"/>
    <w:rsid w:val="339B19D0"/>
    <w:rsid w:val="33EE2317"/>
    <w:rsid w:val="34816F18"/>
    <w:rsid w:val="34C074BD"/>
    <w:rsid w:val="34CB0FB2"/>
    <w:rsid w:val="3508551A"/>
    <w:rsid w:val="356F7683"/>
    <w:rsid w:val="358B56FA"/>
    <w:rsid w:val="359C0F7A"/>
    <w:rsid w:val="35E113E3"/>
    <w:rsid w:val="36121195"/>
    <w:rsid w:val="36415DA1"/>
    <w:rsid w:val="366553BC"/>
    <w:rsid w:val="367B0A80"/>
    <w:rsid w:val="36CF0D11"/>
    <w:rsid w:val="370B120F"/>
    <w:rsid w:val="372C11B1"/>
    <w:rsid w:val="37390441"/>
    <w:rsid w:val="37776170"/>
    <w:rsid w:val="37781747"/>
    <w:rsid w:val="37847CCD"/>
    <w:rsid w:val="378B37C3"/>
    <w:rsid w:val="37CD2E49"/>
    <w:rsid w:val="37E0231A"/>
    <w:rsid w:val="381C1DAF"/>
    <w:rsid w:val="382B35B4"/>
    <w:rsid w:val="38532153"/>
    <w:rsid w:val="387340C0"/>
    <w:rsid w:val="3881501A"/>
    <w:rsid w:val="3941563D"/>
    <w:rsid w:val="394D75C2"/>
    <w:rsid w:val="395367AD"/>
    <w:rsid w:val="39922F2C"/>
    <w:rsid w:val="39B35117"/>
    <w:rsid w:val="39FD0985"/>
    <w:rsid w:val="3A110ED8"/>
    <w:rsid w:val="3A763CE8"/>
    <w:rsid w:val="3A782C15"/>
    <w:rsid w:val="3AE332B3"/>
    <w:rsid w:val="3B071D45"/>
    <w:rsid w:val="3B355322"/>
    <w:rsid w:val="3B591BE3"/>
    <w:rsid w:val="3BB54959"/>
    <w:rsid w:val="3BC97226"/>
    <w:rsid w:val="3BE667AA"/>
    <w:rsid w:val="3C217A44"/>
    <w:rsid w:val="3C2A52EE"/>
    <w:rsid w:val="3C5C7972"/>
    <w:rsid w:val="3C77257F"/>
    <w:rsid w:val="3C8C247C"/>
    <w:rsid w:val="3CB35986"/>
    <w:rsid w:val="3D514278"/>
    <w:rsid w:val="3D65545B"/>
    <w:rsid w:val="3DEE78C8"/>
    <w:rsid w:val="3DFB2CDF"/>
    <w:rsid w:val="3E054D1E"/>
    <w:rsid w:val="3E0E6C37"/>
    <w:rsid w:val="3E2D2707"/>
    <w:rsid w:val="3E7C6D69"/>
    <w:rsid w:val="3EB83A8B"/>
    <w:rsid w:val="3ECA18A4"/>
    <w:rsid w:val="3EDA6000"/>
    <w:rsid w:val="3EE51A3E"/>
    <w:rsid w:val="3EE97DC2"/>
    <w:rsid w:val="3F330D27"/>
    <w:rsid w:val="3F4A6423"/>
    <w:rsid w:val="3F4D512E"/>
    <w:rsid w:val="3F8F65C3"/>
    <w:rsid w:val="3FA119B7"/>
    <w:rsid w:val="3FE83514"/>
    <w:rsid w:val="3FF02AC1"/>
    <w:rsid w:val="40177DE3"/>
    <w:rsid w:val="403D6314"/>
    <w:rsid w:val="407A192C"/>
    <w:rsid w:val="40C575BB"/>
    <w:rsid w:val="411E2F54"/>
    <w:rsid w:val="414E2F2A"/>
    <w:rsid w:val="41560AED"/>
    <w:rsid w:val="417A1877"/>
    <w:rsid w:val="4186089B"/>
    <w:rsid w:val="418F7DCC"/>
    <w:rsid w:val="421B581E"/>
    <w:rsid w:val="42654E02"/>
    <w:rsid w:val="427C0258"/>
    <w:rsid w:val="42EF614C"/>
    <w:rsid w:val="432253DD"/>
    <w:rsid w:val="433240C7"/>
    <w:rsid w:val="43863DDA"/>
    <w:rsid w:val="43B003B9"/>
    <w:rsid w:val="43D011EA"/>
    <w:rsid w:val="441477C8"/>
    <w:rsid w:val="4442212E"/>
    <w:rsid w:val="444939F2"/>
    <w:rsid w:val="444D6023"/>
    <w:rsid w:val="44557E80"/>
    <w:rsid w:val="446A71A4"/>
    <w:rsid w:val="4473408E"/>
    <w:rsid w:val="44C8220F"/>
    <w:rsid w:val="452E36E4"/>
    <w:rsid w:val="454E5A55"/>
    <w:rsid w:val="45551365"/>
    <w:rsid w:val="457768CD"/>
    <w:rsid w:val="45914625"/>
    <w:rsid w:val="45CD7101"/>
    <w:rsid w:val="46255F10"/>
    <w:rsid w:val="46484442"/>
    <w:rsid w:val="46A859C8"/>
    <w:rsid w:val="476F66C2"/>
    <w:rsid w:val="47706940"/>
    <w:rsid w:val="47A56F6B"/>
    <w:rsid w:val="47B01446"/>
    <w:rsid w:val="47CC27EE"/>
    <w:rsid w:val="480C3F11"/>
    <w:rsid w:val="482809DA"/>
    <w:rsid w:val="488E6154"/>
    <w:rsid w:val="48DC3D7E"/>
    <w:rsid w:val="490F7584"/>
    <w:rsid w:val="491A36FD"/>
    <w:rsid w:val="491E1806"/>
    <w:rsid w:val="49302D31"/>
    <w:rsid w:val="49380F7C"/>
    <w:rsid w:val="496B47B7"/>
    <w:rsid w:val="49ED7730"/>
    <w:rsid w:val="49F23C40"/>
    <w:rsid w:val="49FC20DA"/>
    <w:rsid w:val="4A0B7731"/>
    <w:rsid w:val="4A9A751F"/>
    <w:rsid w:val="4AB8212E"/>
    <w:rsid w:val="4AB83C05"/>
    <w:rsid w:val="4AC05A5A"/>
    <w:rsid w:val="4AE10089"/>
    <w:rsid w:val="4AFD3C96"/>
    <w:rsid w:val="4B022328"/>
    <w:rsid w:val="4B2B2414"/>
    <w:rsid w:val="4B384AFB"/>
    <w:rsid w:val="4B3A3DE4"/>
    <w:rsid w:val="4B6217B9"/>
    <w:rsid w:val="4B636625"/>
    <w:rsid w:val="4B701FD3"/>
    <w:rsid w:val="4B7545A7"/>
    <w:rsid w:val="4B77032C"/>
    <w:rsid w:val="4BCA4DC2"/>
    <w:rsid w:val="4BD125AC"/>
    <w:rsid w:val="4BD24896"/>
    <w:rsid w:val="4BD340D8"/>
    <w:rsid w:val="4C360546"/>
    <w:rsid w:val="4C4F7AB0"/>
    <w:rsid w:val="4C9C7148"/>
    <w:rsid w:val="4CE9432D"/>
    <w:rsid w:val="4CFF75D5"/>
    <w:rsid w:val="4D1E665B"/>
    <w:rsid w:val="4D5D78FE"/>
    <w:rsid w:val="4DAE5F5E"/>
    <w:rsid w:val="4DB42D2B"/>
    <w:rsid w:val="4DEC3CC9"/>
    <w:rsid w:val="4E6B5729"/>
    <w:rsid w:val="4EA404FD"/>
    <w:rsid w:val="4EB05322"/>
    <w:rsid w:val="4ED0142A"/>
    <w:rsid w:val="4F1D5284"/>
    <w:rsid w:val="4F2A74C3"/>
    <w:rsid w:val="4F4E6927"/>
    <w:rsid w:val="4F6D7897"/>
    <w:rsid w:val="4F7D1573"/>
    <w:rsid w:val="4F8A7A12"/>
    <w:rsid w:val="4FA56487"/>
    <w:rsid w:val="4FA83C36"/>
    <w:rsid w:val="4FC10A08"/>
    <w:rsid w:val="4FC44EDC"/>
    <w:rsid w:val="4FCB50E6"/>
    <w:rsid w:val="4FF051A0"/>
    <w:rsid w:val="50031D6A"/>
    <w:rsid w:val="50141FA4"/>
    <w:rsid w:val="50420EB0"/>
    <w:rsid w:val="50620253"/>
    <w:rsid w:val="506321B5"/>
    <w:rsid w:val="507506FE"/>
    <w:rsid w:val="50913F82"/>
    <w:rsid w:val="509D4006"/>
    <w:rsid w:val="50D954C3"/>
    <w:rsid w:val="50FA3476"/>
    <w:rsid w:val="50FE2791"/>
    <w:rsid w:val="51752B27"/>
    <w:rsid w:val="522A1165"/>
    <w:rsid w:val="525B370C"/>
    <w:rsid w:val="52C12FB4"/>
    <w:rsid w:val="52F759F3"/>
    <w:rsid w:val="53307DE8"/>
    <w:rsid w:val="5350468E"/>
    <w:rsid w:val="535B5D4C"/>
    <w:rsid w:val="53866EE0"/>
    <w:rsid w:val="538F587F"/>
    <w:rsid w:val="53910B9A"/>
    <w:rsid w:val="53965FEE"/>
    <w:rsid w:val="53A5474E"/>
    <w:rsid w:val="53BB1579"/>
    <w:rsid w:val="53DD6727"/>
    <w:rsid w:val="541E0188"/>
    <w:rsid w:val="544E2FF3"/>
    <w:rsid w:val="545A1960"/>
    <w:rsid w:val="546A0BF9"/>
    <w:rsid w:val="54791DE5"/>
    <w:rsid w:val="54A06AD4"/>
    <w:rsid w:val="54D050FC"/>
    <w:rsid w:val="54D63CE9"/>
    <w:rsid w:val="55015333"/>
    <w:rsid w:val="55393446"/>
    <w:rsid w:val="553A46E4"/>
    <w:rsid w:val="55BC5A13"/>
    <w:rsid w:val="55BE7CA4"/>
    <w:rsid w:val="55D02366"/>
    <w:rsid w:val="55D63612"/>
    <w:rsid w:val="56907131"/>
    <w:rsid w:val="56C113D0"/>
    <w:rsid w:val="56CB143B"/>
    <w:rsid w:val="57044331"/>
    <w:rsid w:val="57366452"/>
    <w:rsid w:val="579E2890"/>
    <w:rsid w:val="57C5150E"/>
    <w:rsid w:val="57DA28FC"/>
    <w:rsid w:val="57E05BE1"/>
    <w:rsid w:val="58346A24"/>
    <w:rsid w:val="586D64C9"/>
    <w:rsid w:val="58754066"/>
    <w:rsid w:val="5876037A"/>
    <w:rsid w:val="58972521"/>
    <w:rsid w:val="589739A0"/>
    <w:rsid w:val="58B6128A"/>
    <w:rsid w:val="58BA4788"/>
    <w:rsid w:val="58BA5B0C"/>
    <w:rsid w:val="58E41BB4"/>
    <w:rsid w:val="58F72073"/>
    <w:rsid w:val="59107A06"/>
    <w:rsid w:val="592861BC"/>
    <w:rsid w:val="592D3608"/>
    <w:rsid w:val="592E3613"/>
    <w:rsid w:val="59464DA9"/>
    <w:rsid w:val="59654F1B"/>
    <w:rsid w:val="59CE1ECF"/>
    <w:rsid w:val="59D1085D"/>
    <w:rsid w:val="59D50EE2"/>
    <w:rsid w:val="59F82547"/>
    <w:rsid w:val="5A296D74"/>
    <w:rsid w:val="5A6C00D7"/>
    <w:rsid w:val="5A6C0BC8"/>
    <w:rsid w:val="5A8E6B50"/>
    <w:rsid w:val="5AC75373"/>
    <w:rsid w:val="5AED7FC4"/>
    <w:rsid w:val="5B09197B"/>
    <w:rsid w:val="5B0F4031"/>
    <w:rsid w:val="5B2D12EA"/>
    <w:rsid w:val="5B4E0504"/>
    <w:rsid w:val="5B526E3B"/>
    <w:rsid w:val="5BD75BA7"/>
    <w:rsid w:val="5BE21FD2"/>
    <w:rsid w:val="5C0C5F1C"/>
    <w:rsid w:val="5C190F79"/>
    <w:rsid w:val="5C4A525B"/>
    <w:rsid w:val="5C50308E"/>
    <w:rsid w:val="5C8E5122"/>
    <w:rsid w:val="5CAF1A5E"/>
    <w:rsid w:val="5CB32A03"/>
    <w:rsid w:val="5CB535E3"/>
    <w:rsid w:val="5CC93579"/>
    <w:rsid w:val="5CD80FE8"/>
    <w:rsid w:val="5CF312F5"/>
    <w:rsid w:val="5CF653E0"/>
    <w:rsid w:val="5CF8008A"/>
    <w:rsid w:val="5D176670"/>
    <w:rsid w:val="5D513C38"/>
    <w:rsid w:val="5D6C4B71"/>
    <w:rsid w:val="5DB42246"/>
    <w:rsid w:val="5DB72275"/>
    <w:rsid w:val="5DBC1ADE"/>
    <w:rsid w:val="5E0D2C7D"/>
    <w:rsid w:val="5E2C755E"/>
    <w:rsid w:val="5E4A6AF2"/>
    <w:rsid w:val="5E5F19D4"/>
    <w:rsid w:val="5E911F30"/>
    <w:rsid w:val="5EBE630A"/>
    <w:rsid w:val="5EFB5FCF"/>
    <w:rsid w:val="5F185E67"/>
    <w:rsid w:val="5F351295"/>
    <w:rsid w:val="5F667198"/>
    <w:rsid w:val="5F912EFC"/>
    <w:rsid w:val="5F9B2DA6"/>
    <w:rsid w:val="5FA056D1"/>
    <w:rsid w:val="5FA752A4"/>
    <w:rsid w:val="60032F94"/>
    <w:rsid w:val="60532394"/>
    <w:rsid w:val="605C4EB2"/>
    <w:rsid w:val="609346F9"/>
    <w:rsid w:val="60976762"/>
    <w:rsid w:val="60C450F6"/>
    <w:rsid w:val="60E87DCD"/>
    <w:rsid w:val="610248FD"/>
    <w:rsid w:val="61563E32"/>
    <w:rsid w:val="615674ED"/>
    <w:rsid w:val="61634776"/>
    <w:rsid w:val="616E5E6A"/>
    <w:rsid w:val="618E7F2B"/>
    <w:rsid w:val="61931EE4"/>
    <w:rsid w:val="61A2258D"/>
    <w:rsid w:val="61D5036C"/>
    <w:rsid w:val="61E66049"/>
    <w:rsid w:val="62202150"/>
    <w:rsid w:val="62255EA3"/>
    <w:rsid w:val="624528F3"/>
    <w:rsid w:val="62465490"/>
    <w:rsid w:val="627E35D4"/>
    <w:rsid w:val="62953523"/>
    <w:rsid w:val="630734CE"/>
    <w:rsid w:val="635001EF"/>
    <w:rsid w:val="6350154A"/>
    <w:rsid w:val="637048DB"/>
    <w:rsid w:val="63953E73"/>
    <w:rsid w:val="63D0272B"/>
    <w:rsid w:val="64112308"/>
    <w:rsid w:val="64181BC0"/>
    <w:rsid w:val="641D1F80"/>
    <w:rsid w:val="64834717"/>
    <w:rsid w:val="64AA146F"/>
    <w:rsid w:val="64B94A9E"/>
    <w:rsid w:val="64F629E2"/>
    <w:rsid w:val="64FC6FD5"/>
    <w:rsid w:val="650B1EAB"/>
    <w:rsid w:val="65335497"/>
    <w:rsid w:val="65431800"/>
    <w:rsid w:val="65633147"/>
    <w:rsid w:val="657A1886"/>
    <w:rsid w:val="658A1748"/>
    <w:rsid w:val="659956F1"/>
    <w:rsid w:val="65BE21B3"/>
    <w:rsid w:val="65D76172"/>
    <w:rsid w:val="66635A03"/>
    <w:rsid w:val="66C77325"/>
    <w:rsid w:val="66CE3288"/>
    <w:rsid w:val="66FF4AAD"/>
    <w:rsid w:val="676E5A78"/>
    <w:rsid w:val="678673E4"/>
    <w:rsid w:val="679D3350"/>
    <w:rsid w:val="68104B83"/>
    <w:rsid w:val="68252C5C"/>
    <w:rsid w:val="683674B5"/>
    <w:rsid w:val="688B26D6"/>
    <w:rsid w:val="68931D4F"/>
    <w:rsid w:val="68996CA3"/>
    <w:rsid w:val="68C6406F"/>
    <w:rsid w:val="68D25F3E"/>
    <w:rsid w:val="68E914BF"/>
    <w:rsid w:val="68F770E6"/>
    <w:rsid w:val="68FF2EDD"/>
    <w:rsid w:val="69015BB9"/>
    <w:rsid w:val="69104B6D"/>
    <w:rsid w:val="69561C3B"/>
    <w:rsid w:val="69B16EDA"/>
    <w:rsid w:val="6A1638AD"/>
    <w:rsid w:val="6A3944D6"/>
    <w:rsid w:val="6A411797"/>
    <w:rsid w:val="6AAD0F85"/>
    <w:rsid w:val="6ACD00FE"/>
    <w:rsid w:val="6ADE4425"/>
    <w:rsid w:val="6B4551DF"/>
    <w:rsid w:val="6B9E2823"/>
    <w:rsid w:val="6BA0344F"/>
    <w:rsid w:val="6BC935EB"/>
    <w:rsid w:val="6C1D59BA"/>
    <w:rsid w:val="6C2348D6"/>
    <w:rsid w:val="6C992C34"/>
    <w:rsid w:val="6CA95923"/>
    <w:rsid w:val="6CCC7AF4"/>
    <w:rsid w:val="6CDF45CD"/>
    <w:rsid w:val="6CF03E3A"/>
    <w:rsid w:val="6D495150"/>
    <w:rsid w:val="6D575B7C"/>
    <w:rsid w:val="6D7418A4"/>
    <w:rsid w:val="6D756958"/>
    <w:rsid w:val="6D902E7A"/>
    <w:rsid w:val="6DC25E45"/>
    <w:rsid w:val="6E376B43"/>
    <w:rsid w:val="6E3B0A20"/>
    <w:rsid w:val="6EA77A48"/>
    <w:rsid w:val="6ED34311"/>
    <w:rsid w:val="6EF97BF0"/>
    <w:rsid w:val="6FD510F7"/>
    <w:rsid w:val="70227EC6"/>
    <w:rsid w:val="705E7BD2"/>
    <w:rsid w:val="70673507"/>
    <w:rsid w:val="70B9578A"/>
    <w:rsid w:val="70BF39A6"/>
    <w:rsid w:val="71035C45"/>
    <w:rsid w:val="71207951"/>
    <w:rsid w:val="712846B7"/>
    <w:rsid w:val="71684205"/>
    <w:rsid w:val="718323E3"/>
    <w:rsid w:val="718B3849"/>
    <w:rsid w:val="719A58E8"/>
    <w:rsid w:val="71C46F33"/>
    <w:rsid w:val="71F778F7"/>
    <w:rsid w:val="727F2419"/>
    <w:rsid w:val="72CF51F4"/>
    <w:rsid w:val="72E90ED3"/>
    <w:rsid w:val="73663647"/>
    <w:rsid w:val="7377015A"/>
    <w:rsid w:val="73966C01"/>
    <w:rsid w:val="739D2BFF"/>
    <w:rsid w:val="739D38BD"/>
    <w:rsid w:val="73B77D0C"/>
    <w:rsid w:val="73C37269"/>
    <w:rsid w:val="73D22D3B"/>
    <w:rsid w:val="74027DBB"/>
    <w:rsid w:val="740374E5"/>
    <w:rsid w:val="741362B6"/>
    <w:rsid w:val="748530B7"/>
    <w:rsid w:val="7495529E"/>
    <w:rsid w:val="74D71650"/>
    <w:rsid w:val="74F5593B"/>
    <w:rsid w:val="751F5D4B"/>
    <w:rsid w:val="752419D7"/>
    <w:rsid w:val="7526130E"/>
    <w:rsid w:val="757F3A8F"/>
    <w:rsid w:val="75832AB5"/>
    <w:rsid w:val="75A62E64"/>
    <w:rsid w:val="75B4228D"/>
    <w:rsid w:val="75B80ED3"/>
    <w:rsid w:val="75B91321"/>
    <w:rsid w:val="75BB53FD"/>
    <w:rsid w:val="75E96582"/>
    <w:rsid w:val="76051ECA"/>
    <w:rsid w:val="761F788C"/>
    <w:rsid w:val="76425915"/>
    <w:rsid w:val="76470CAA"/>
    <w:rsid w:val="76473FDD"/>
    <w:rsid w:val="764D1082"/>
    <w:rsid w:val="766653B9"/>
    <w:rsid w:val="766F2799"/>
    <w:rsid w:val="76BB3F31"/>
    <w:rsid w:val="76C26B37"/>
    <w:rsid w:val="76FC63AD"/>
    <w:rsid w:val="772C5186"/>
    <w:rsid w:val="773B6256"/>
    <w:rsid w:val="773F48C4"/>
    <w:rsid w:val="774C0D1D"/>
    <w:rsid w:val="77593B74"/>
    <w:rsid w:val="776D5ECB"/>
    <w:rsid w:val="778E3BBE"/>
    <w:rsid w:val="77A10BC1"/>
    <w:rsid w:val="77AA0259"/>
    <w:rsid w:val="77C850F1"/>
    <w:rsid w:val="77D633B9"/>
    <w:rsid w:val="77F017BD"/>
    <w:rsid w:val="780B7492"/>
    <w:rsid w:val="787C0EF5"/>
    <w:rsid w:val="78BE25CA"/>
    <w:rsid w:val="78FE0326"/>
    <w:rsid w:val="79012643"/>
    <w:rsid w:val="792C0FD8"/>
    <w:rsid w:val="79900386"/>
    <w:rsid w:val="7991504A"/>
    <w:rsid w:val="79E850CB"/>
    <w:rsid w:val="7A380FF9"/>
    <w:rsid w:val="7A3C0663"/>
    <w:rsid w:val="7AC758F2"/>
    <w:rsid w:val="7AF769C6"/>
    <w:rsid w:val="7B09727D"/>
    <w:rsid w:val="7BEA1E0F"/>
    <w:rsid w:val="7C2B1231"/>
    <w:rsid w:val="7C2D1EDB"/>
    <w:rsid w:val="7C73117D"/>
    <w:rsid w:val="7C803A49"/>
    <w:rsid w:val="7D07233B"/>
    <w:rsid w:val="7D1B6488"/>
    <w:rsid w:val="7D226C15"/>
    <w:rsid w:val="7D3C003C"/>
    <w:rsid w:val="7D40391F"/>
    <w:rsid w:val="7D955826"/>
    <w:rsid w:val="7DF96BCA"/>
    <w:rsid w:val="7E1251F4"/>
    <w:rsid w:val="7E12627C"/>
    <w:rsid w:val="7E1C2E5A"/>
    <w:rsid w:val="7E205BEB"/>
    <w:rsid w:val="7E5B6773"/>
    <w:rsid w:val="7E6416AA"/>
    <w:rsid w:val="7EE66F59"/>
    <w:rsid w:val="7F1A6E76"/>
    <w:rsid w:val="7F1F783D"/>
    <w:rsid w:val="7F7E65F4"/>
    <w:rsid w:val="7FA071DF"/>
    <w:rsid w:val="7FAF396D"/>
    <w:rsid w:val="7FE45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1" w:semiHidden="0" w:name="heading 3"/>
    <w:lsdException w:qFormat="1" w:uiPriority="1" w:semiHidden="0"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4">
    <w:name w:val="heading 1"/>
    <w:basedOn w:val="1"/>
    <w:next w:val="1"/>
    <w:qFormat/>
    <w:uiPriority w:val="1"/>
    <w:pPr>
      <w:keepNext/>
      <w:keepLines/>
      <w:spacing w:before="340" w:after="330" w:line="576" w:lineRule="auto"/>
      <w:outlineLvl w:val="0"/>
    </w:pPr>
    <w:rPr>
      <w:b/>
      <w:kern w:val="44"/>
      <w:sz w:val="44"/>
    </w:rPr>
  </w:style>
  <w:style w:type="paragraph" w:styleId="5">
    <w:name w:val="heading 2"/>
    <w:basedOn w:val="1"/>
    <w:next w:val="1"/>
    <w:link w:val="32"/>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paragraph" w:styleId="6">
    <w:name w:val="heading 3"/>
    <w:basedOn w:val="1"/>
    <w:next w:val="1"/>
    <w:unhideWhenUsed/>
    <w:qFormat/>
    <w:uiPriority w:val="1"/>
    <w:pPr>
      <w:keepNext/>
      <w:keepLines/>
      <w:spacing w:before="260" w:after="260" w:line="413" w:lineRule="auto"/>
      <w:outlineLvl w:val="2"/>
    </w:pPr>
    <w:rPr>
      <w:b/>
      <w:sz w:val="32"/>
    </w:rPr>
  </w:style>
  <w:style w:type="paragraph" w:styleId="7">
    <w:name w:val="heading 4"/>
    <w:basedOn w:val="1"/>
    <w:next w:val="1"/>
    <w:link w:val="37"/>
    <w:unhideWhenUsed/>
    <w:qFormat/>
    <w:uiPriority w:val="1"/>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8">
    <w:name w:val="heading 5"/>
    <w:basedOn w:val="1"/>
    <w:next w:val="1"/>
    <w:link w:val="35"/>
    <w:unhideWhenUsed/>
    <w:qFormat/>
    <w:uiPriority w:val="1"/>
    <w:pPr>
      <w:keepNext/>
      <w:keepLines/>
      <w:spacing w:before="280" w:after="290" w:line="376" w:lineRule="auto"/>
      <w:outlineLvl w:val="4"/>
    </w:pPr>
    <w:rPr>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next w:val="1"/>
    <w:qFormat/>
    <w:uiPriority w:val="0"/>
    <w:pPr>
      <w:spacing w:after="120"/>
      <w:ind w:left="420" w:leftChars="200"/>
      <w:jc w:val="left"/>
    </w:pPr>
    <w:rPr>
      <w:rFonts w:hint="eastAsia" w:ascii="宋体" w:hAnsi="宋体" w:eastAsia="宋体"/>
      <w:kern w:val="0"/>
      <w:sz w:val="24"/>
      <w:szCs w:val="24"/>
    </w:rPr>
  </w:style>
  <w:style w:type="paragraph" w:styleId="9">
    <w:name w:val="index 8"/>
    <w:basedOn w:val="1"/>
    <w:next w:val="1"/>
    <w:qFormat/>
    <w:uiPriority w:val="0"/>
    <w:pPr>
      <w:adjustRightInd w:val="0"/>
      <w:snapToGrid w:val="0"/>
      <w:spacing w:line="360" w:lineRule="auto"/>
    </w:pPr>
    <w:rPr>
      <w:rFonts w:ascii="宋体" w:hAnsi="宋体" w:eastAsia="宋体" w:cs="Times New Roman"/>
      <w:b/>
      <w:sz w:val="24"/>
    </w:rPr>
  </w:style>
  <w:style w:type="paragraph" w:styleId="10">
    <w:name w:val="Normal Indent"/>
    <w:basedOn w:val="1"/>
    <w:next w:val="11"/>
    <w:qFormat/>
    <w:uiPriority w:val="0"/>
    <w:pPr>
      <w:spacing w:line="360" w:lineRule="auto"/>
      <w:ind w:firstLine="420" w:firstLineChars="200"/>
      <w:jc w:val="left"/>
    </w:pPr>
    <w:rPr>
      <w:rFonts w:ascii="仿宋_GB2312" w:hAnsi="Arial" w:eastAsia="仿宋_GB2312"/>
      <w:kern w:val="0"/>
      <w:sz w:val="30"/>
      <w:szCs w:val="30"/>
    </w:rPr>
  </w:style>
  <w:style w:type="paragraph" w:styleId="11">
    <w:name w:val="Body Text"/>
    <w:basedOn w:val="1"/>
    <w:next w:val="12"/>
    <w:link w:val="36"/>
    <w:unhideWhenUsed/>
    <w:qFormat/>
    <w:uiPriority w:val="1"/>
    <w:pPr>
      <w:spacing w:after="120"/>
    </w:pPr>
  </w:style>
  <w:style w:type="paragraph" w:styleId="12">
    <w:name w:val="Body Text 2"/>
    <w:basedOn w:val="1"/>
    <w:qFormat/>
    <w:uiPriority w:val="99"/>
    <w:pPr>
      <w:spacing w:after="120" w:line="480" w:lineRule="auto"/>
    </w:pPr>
  </w:style>
  <w:style w:type="paragraph" w:styleId="13">
    <w:name w:val="annotation text"/>
    <w:basedOn w:val="1"/>
    <w:link w:val="28"/>
    <w:unhideWhenUsed/>
    <w:qFormat/>
    <w:uiPriority w:val="99"/>
    <w:pPr>
      <w:jc w:val="left"/>
    </w:pPr>
  </w:style>
  <w:style w:type="paragraph" w:styleId="14">
    <w:name w:val="Balloon Text"/>
    <w:basedOn w:val="1"/>
    <w:link w:val="38"/>
    <w:semiHidden/>
    <w:unhideWhenUsed/>
    <w:qFormat/>
    <w:uiPriority w:val="99"/>
    <w:rPr>
      <w:sz w:val="18"/>
      <w:szCs w:val="18"/>
    </w:rPr>
  </w:style>
  <w:style w:type="paragraph" w:styleId="15">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6">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7">
    <w:name w:val="toc 1"/>
    <w:basedOn w:val="1"/>
    <w:next w:val="1"/>
    <w:unhideWhenUsed/>
    <w:qFormat/>
    <w:uiPriority w:val="39"/>
    <w:pPr>
      <w:tabs>
        <w:tab w:val="right" w:leader="dot" w:pos="8714"/>
      </w:tabs>
      <w:spacing w:before="60" w:line="360" w:lineRule="auto"/>
      <w:ind w:left="200" w:leftChars="200"/>
      <w:jc w:val="left"/>
    </w:pPr>
    <w:rPr>
      <w:rFonts w:eastAsia="Helvetica" w:cs="Courier"/>
      <w:bCs/>
      <w:caps/>
      <w:sz w:val="30"/>
      <w:szCs w:val="20"/>
    </w:rPr>
  </w:style>
  <w:style w:type="paragraph" w:styleId="18">
    <w:name w:val="Subtitle"/>
    <w:basedOn w:val="1"/>
    <w:next w:val="1"/>
    <w:link w:val="31"/>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9">
    <w:name w:val="toc 2"/>
    <w:basedOn w:val="1"/>
    <w:next w:val="1"/>
    <w:unhideWhenUsed/>
    <w:qFormat/>
    <w:uiPriority w:val="39"/>
    <w:pPr>
      <w:tabs>
        <w:tab w:val="right" w:leader="dot" w:pos="8714"/>
      </w:tabs>
      <w:spacing w:line="360" w:lineRule="auto"/>
      <w:ind w:left="350" w:leftChars="350"/>
      <w:jc w:val="left"/>
    </w:pPr>
    <w:rPr>
      <w:rFonts w:eastAsia="Tms Rmn" w:cs="Courier"/>
      <w:smallCaps/>
      <w:sz w:val="30"/>
      <w:szCs w:val="20"/>
    </w:rPr>
  </w:style>
  <w:style w:type="paragraph" w:styleId="20">
    <w:name w:val="annotation subject"/>
    <w:basedOn w:val="13"/>
    <w:next w:val="13"/>
    <w:link w:val="29"/>
    <w:semiHidden/>
    <w:unhideWhenUsed/>
    <w:qFormat/>
    <w:uiPriority w:val="99"/>
    <w:rPr>
      <w:b/>
      <w:bCs/>
    </w:r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3"/>
    <w:unhideWhenUsed/>
    <w:qFormat/>
    <w:uiPriority w:val="99"/>
    <w:rPr>
      <w:color w:val="0563C1" w:themeColor="hyperlink"/>
      <w:u w:val="single"/>
      <w14:textFill>
        <w14:solidFill>
          <w14:schemeClr w14:val="hlink"/>
        </w14:solidFill>
      </w14:textFill>
    </w:rPr>
  </w:style>
  <w:style w:type="character" w:styleId="25">
    <w:name w:val="annotation reference"/>
    <w:basedOn w:val="23"/>
    <w:unhideWhenUsed/>
    <w:qFormat/>
    <w:uiPriority w:val="99"/>
    <w:rPr>
      <w:sz w:val="21"/>
      <w:szCs w:val="21"/>
    </w:rPr>
  </w:style>
  <w:style w:type="character" w:customStyle="1" w:styleId="26">
    <w:name w:val="页眉 Char"/>
    <w:basedOn w:val="23"/>
    <w:link w:val="16"/>
    <w:qFormat/>
    <w:uiPriority w:val="99"/>
    <w:rPr>
      <w:sz w:val="18"/>
      <w:szCs w:val="18"/>
    </w:rPr>
  </w:style>
  <w:style w:type="character" w:customStyle="1" w:styleId="27">
    <w:name w:val="页脚 Char"/>
    <w:basedOn w:val="23"/>
    <w:link w:val="15"/>
    <w:qFormat/>
    <w:uiPriority w:val="99"/>
    <w:rPr>
      <w:sz w:val="18"/>
      <w:szCs w:val="18"/>
    </w:rPr>
  </w:style>
  <w:style w:type="character" w:customStyle="1" w:styleId="28">
    <w:name w:val="批注文字 Char"/>
    <w:basedOn w:val="23"/>
    <w:link w:val="13"/>
    <w:qFormat/>
    <w:uiPriority w:val="99"/>
    <w:rPr>
      <w:rFonts w:ascii="Times New Roman" w:hAnsi="Times New Roman" w:eastAsia="Courier New" w:cs="Times New Roman"/>
      <w:szCs w:val="21"/>
    </w:rPr>
  </w:style>
  <w:style w:type="character" w:customStyle="1" w:styleId="29">
    <w:name w:val="批注主题 Char"/>
    <w:basedOn w:val="28"/>
    <w:link w:val="20"/>
    <w:semiHidden/>
    <w:qFormat/>
    <w:uiPriority w:val="99"/>
    <w:rPr>
      <w:rFonts w:ascii="Times New Roman" w:hAnsi="Times New Roman" w:eastAsia="Courier New" w:cs="Times New Roman"/>
      <w:b/>
      <w:bCs/>
      <w:szCs w:val="21"/>
    </w:rPr>
  </w:style>
  <w:style w:type="paragraph" w:customStyle="1" w:styleId="30">
    <w:name w:val="独立格式"/>
    <w:basedOn w:val="18"/>
    <w:qFormat/>
    <w:uiPriority w:val="1"/>
    <w:pPr>
      <w:spacing w:before="0" w:after="0" w:line="360" w:lineRule="auto"/>
      <w:outlineLvl w:val="9"/>
    </w:pPr>
    <w:rPr>
      <w:rFonts w:ascii="Times New Roman" w:hAnsi="Times New Roman" w:eastAsia="Tms Rmn" w:cs="Times New Roman"/>
      <w:b w:val="0"/>
      <w:bCs w:val="0"/>
      <w:kern w:val="2"/>
      <w:szCs w:val="52"/>
    </w:rPr>
  </w:style>
  <w:style w:type="character" w:customStyle="1" w:styleId="31">
    <w:name w:val="副标题 Char"/>
    <w:basedOn w:val="23"/>
    <w:link w:val="18"/>
    <w:qFormat/>
    <w:uiPriority w:val="11"/>
    <w:rPr>
      <w:b/>
      <w:bCs/>
      <w:kern w:val="28"/>
      <w:sz w:val="32"/>
      <w:szCs w:val="32"/>
    </w:rPr>
  </w:style>
  <w:style w:type="character" w:customStyle="1" w:styleId="32">
    <w:name w:val="标题 2 Char"/>
    <w:basedOn w:val="23"/>
    <w:link w:val="5"/>
    <w:qFormat/>
    <w:uiPriority w:val="9"/>
    <w:rPr>
      <w:rFonts w:ascii="Arial" w:hAnsi="Arial" w:eastAsia="Symbol" w:cs="Times New Roman"/>
      <w:b/>
      <w:bCs/>
      <w:sz w:val="32"/>
      <w:szCs w:val="32"/>
    </w:rPr>
  </w:style>
  <w:style w:type="paragraph" w:customStyle="1" w:styleId="33">
    <w:name w:val="表格名称"/>
    <w:basedOn w:val="1"/>
    <w:qFormat/>
    <w:uiPriority w:val="0"/>
    <w:pPr>
      <w:spacing w:line="360" w:lineRule="auto"/>
      <w:jc w:val="center"/>
    </w:pPr>
    <w:rPr>
      <w:rFonts w:eastAsia="Helv" w:cs="New York"/>
      <w:b/>
      <w:sz w:val="24"/>
      <w:szCs w:val="24"/>
    </w:rPr>
  </w:style>
  <w:style w:type="paragraph" w:customStyle="1" w:styleId="34">
    <w:name w:val="表格文字"/>
    <w:basedOn w:val="30"/>
    <w:next w:val="1"/>
    <w:qFormat/>
    <w:uiPriority w:val="0"/>
    <w:pPr>
      <w:spacing w:line="360" w:lineRule="exact"/>
    </w:pPr>
    <w:rPr>
      <w:rFonts w:eastAsia="Helv" w:cs="New York"/>
      <w:sz w:val="24"/>
    </w:rPr>
  </w:style>
  <w:style w:type="character" w:customStyle="1" w:styleId="35">
    <w:name w:val="标题 5 Char"/>
    <w:basedOn w:val="23"/>
    <w:link w:val="8"/>
    <w:semiHidden/>
    <w:qFormat/>
    <w:uiPriority w:val="9"/>
    <w:rPr>
      <w:rFonts w:ascii="Times New Roman" w:hAnsi="Times New Roman" w:eastAsia="Courier New" w:cs="Times New Roman"/>
      <w:b/>
      <w:bCs/>
      <w:sz w:val="28"/>
      <w:szCs w:val="28"/>
    </w:rPr>
  </w:style>
  <w:style w:type="character" w:customStyle="1" w:styleId="36">
    <w:name w:val="正文文本 Char"/>
    <w:basedOn w:val="23"/>
    <w:link w:val="11"/>
    <w:semiHidden/>
    <w:qFormat/>
    <w:uiPriority w:val="99"/>
    <w:rPr>
      <w:rFonts w:ascii="Times New Roman" w:hAnsi="Times New Roman" w:eastAsia="Courier New" w:cs="Times New Roman"/>
      <w:szCs w:val="21"/>
    </w:rPr>
  </w:style>
  <w:style w:type="character" w:customStyle="1" w:styleId="37">
    <w:name w:val="标题 4 Char"/>
    <w:basedOn w:val="23"/>
    <w:link w:val="7"/>
    <w:semiHidden/>
    <w:qFormat/>
    <w:uiPriority w:val="9"/>
    <w:rPr>
      <w:rFonts w:asciiTheme="majorHAnsi" w:hAnsiTheme="majorHAnsi" w:eastAsiaTheme="majorEastAsia" w:cstheme="majorBidi"/>
      <w:b/>
      <w:bCs/>
      <w:sz w:val="28"/>
      <w:szCs w:val="28"/>
    </w:rPr>
  </w:style>
  <w:style w:type="character" w:customStyle="1" w:styleId="38">
    <w:name w:val="批注框文本 Char"/>
    <w:basedOn w:val="23"/>
    <w:link w:val="14"/>
    <w:semiHidden/>
    <w:qFormat/>
    <w:uiPriority w:val="99"/>
    <w:rPr>
      <w:rFonts w:ascii="Times New Roman" w:hAnsi="Times New Roman" w:eastAsia="Courier New" w:cs="Times New Roman"/>
      <w:kern w:val="2"/>
      <w:sz w:val="18"/>
      <w:szCs w:val="18"/>
    </w:rPr>
  </w:style>
  <w:style w:type="table" w:customStyle="1" w:styleId="39">
    <w:name w:val="Table Normal"/>
    <w:semiHidden/>
    <w:unhideWhenUsed/>
    <w:qFormat/>
    <w:uiPriority w:val="2"/>
    <w:tblPr>
      <w:tblCellMar>
        <w:top w:w="0" w:type="dxa"/>
        <w:left w:w="0" w:type="dxa"/>
        <w:bottom w:w="0" w:type="dxa"/>
        <w:right w:w="0" w:type="dxa"/>
      </w:tblCellMar>
    </w:tblPr>
  </w:style>
  <w:style w:type="paragraph" w:styleId="40">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 w:type="paragraph" w:customStyle="1" w:styleId="41">
    <w:name w:val="Table Paragraph"/>
    <w:basedOn w:val="1"/>
    <w:qFormat/>
    <w:uiPriority w:val="1"/>
    <w:pPr>
      <w:autoSpaceDE w:val="0"/>
      <w:autoSpaceDN w:val="0"/>
      <w:jc w:val="left"/>
    </w:pPr>
    <w:rPr>
      <w:rFonts w:ascii="宋体" w:hAnsi="宋体" w:eastAsia="宋体" w:cs="宋体"/>
      <w:kern w:val="0"/>
      <w:sz w:val="22"/>
      <w:szCs w:val="22"/>
      <w:lang w:eastAsia="en-US"/>
    </w:rPr>
  </w:style>
  <w:style w:type="paragraph" w:customStyle="1" w:styleId="42">
    <w:name w:val="List Paragraph_7de1f969-0e09-4742-823b-59e821bc8c31"/>
    <w:basedOn w:val="1"/>
    <w:qFormat/>
    <w:uiPriority w:val="0"/>
    <w:pPr>
      <w:ind w:firstLine="420" w:firstLineChars="200"/>
    </w:pPr>
    <w:rPr>
      <w:szCs w:val="22"/>
    </w:rPr>
  </w:style>
  <w:style w:type="paragraph" w:customStyle="1" w:styleId="43">
    <w:name w:val="Body text|1"/>
    <w:basedOn w:val="1"/>
    <w:qFormat/>
    <w:uiPriority w:val="0"/>
    <w:pPr>
      <w:widowControl w:val="0"/>
      <w:shd w:val="clear" w:color="auto" w:fill="auto"/>
      <w:spacing w:line="360" w:lineRule="auto"/>
      <w:ind w:firstLine="400"/>
    </w:pPr>
    <w:rPr>
      <w:rFonts w:ascii="宋体" w:hAnsi="宋体" w:eastAsia="宋体" w:cs="宋体"/>
      <w:sz w:val="34"/>
      <w:szCs w:val="34"/>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4&#24180;&#39044;&#31639;&#20844;&#24320;&#36164;&#26009;\2024&#39044;&#31639;&#20844;&#24320;&#34920;&#266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支出预算</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9</a:t>
                    </a:r>
                    <a:r>
                      <a:rPr lang="en-US" altLang="zh-CN"/>
                      <a:t>8</a:t>
                    </a:r>
                    <a:r>
                      <a:t>%</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a:t>
                    </a:r>
                    <a:r>
                      <a:t>%</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[2024预算公开表格.xlsx]Sheet1!$J$8:$J$9</c:f>
              <c:strCache>
                <c:ptCount val="2"/>
                <c:pt idx="0">
                  <c:v>基本支出</c:v>
                </c:pt>
                <c:pt idx="1">
                  <c:v>项目支出</c:v>
                </c:pt>
              </c:strCache>
            </c:strRef>
          </c:cat>
          <c:val>
            <c:numRef>
              <c:f>[2024预算公开表格.xlsx]Sheet1!$K$8:$K$9</c:f>
              <c:numCache>
                <c:formatCode>0%</c:formatCode>
                <c:ptCount val="2"/>
                <c:pt idx="0">
                  <c:v>0.97</c:v>
                </c:pt>
                <c:pt idx="1">
                  <c:v>0.03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5339</Words>
  <Characters>30438</Characters>
  <Lines>253</Lines>
  <Paragraphs>71</Paragraphs>
  <TotalTime>44</TotalTime>
  <ScaleCrop>false</ScaleCrop>
  <LinksUpToDate>false</LinksUpToDate>
  <CharactersWithSpaces>35706</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2024-01-24T12:07:00Z</dcterms:created>
  <dc:creator>Richard Meng</dc:creator>
  <cp:lastModifiedBy>崔博</cp:lastModifiedBy>
  <cp:lastPrinted>2026-02-02T17:38:00Z</cp:lastPrinted>
  <dcterms:modified xsi:type="dcterms:W3CDTF">2026-08-05T08:40:18Z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072E2675AB9B3D5F4C90716A723C1C26_43</vt:lpwstr>
  </property>
</Properties>
</file>